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3859" w14:textId="77777777" w:rsidR="00E81F0A" w:rsidRPr="00531776" w:rsidRDefault="00D97E51" w:rsidP="00D97E51">
      <w:pPr>
        <w:rPr>
          <w:b/>
          <w:color w:val="0000FF"/>
          <w:sz w:val="32"/>
          <w:szCs w:val="32"/>
        </w:rPr>
      </w:pPr>
      <w:bookmarkStart w:id="0" w:name="_GoBack"/>
      <w:bookmarkEnd w:id="0"/>
      <w:r w:rsidRPr="00531776">
        <w:br w:type="textWrapping" w:clear="all"/>
      </w:r>
      <w:r w:rsidRPr="00531776">
        <w:rPr>
          <w:b/>
          <w:color w:val="0000FF"/>
          <w:sz w:val="32"/>
        </w:rPr>
        <w:t xml:space="preserve">ACTION-1-Studie   SOP:  Meldung (S) AEs/SUSARs </w:t>
      </w:r>
    </w:p>
    <w:p w14:paraId="7932385A" w14:textId="77777777" w:rsidR="009002FD" w:rsidRPr="00531776" w:rsidRDefault="009002FD" w:rsidP="009002FD">
      <w:pPr>
        <w:pStyle w:val="MMkop2"/>
        <w:rPr>
          <w:sz w:val="22"/>
          <w:szCs w:val="22"/>
        </w:rPr>
      </w:pPr>
      <w:r w:rsidRPr="00531776">
        <w:rPr>
          <w:sz w:val="22"/>
        </w:rPr>
        <w:t>Zweck</w:t>
      </w:r>
    </w:p>
    <w:p w14:paraId="7932385B" w14:textId="77777777" w:rsidR="009002FD" w:rsidRPr="00531776" w:rsidRDefault="009002FD" w:rsidP="009002FD">
      <w:pPr>
        <w:rPr>
          <w:rFonts w:cs="Arial"/>
        </w:rPr>
      </w:pPr>
      <w:r w:rsidRPr="00531776">
        <w:t>Beschreibung des Verfahrens zur ordnungsgemäßen Erfassung eines schwerwiegenden unerwünschten Ereignisses (SAE) und/oder eines Verdachts einer unerwarteten schwerwiegenden Nebenwirkung (SUSAR) in der ACTION-1-Studie.</w:t>
      </w:r>
    </w:p>
    <w:p w14:paraId="7932385C" w14:textId="77777777" w:rsidR="00036C79" w:rsidRPr="00531776" w:rsidRDefault="00821CD1" w:rsidP="00821CD1">
      <w:pPr>
        <w:pStyle w:val="MMkop2"/>
        <w:rPr>
          <w:sz w:val="22"/>
          <w:szCs w:val="22"/>
        </w:rPr>
      </w:pPr>
      <w:r w:rsidRPr="00531776">
        <w:rPr>
          <w:sz w:val="22"/>
        </w:rPr>
        <w:t>Abkürzungen</w:t>
      </w:r>
    </w:p>
    <w:tbl>
      <w:tblPr>
        <w:tblW w:w="1010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8770"/>
      </w:tblGrid>
      <w:tr w:rsidR="00036C79" w:rsidRPr="00531776" w14:paraId="7932385F" w14:textId="77777777" w:rsidTr="00036C79">
        <w:trPr>
          <w:trHeight w:val="294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932385D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AE</w:t>
            </w:r>
          </w:p>
        </w:tc>
        <w:tc>
          <w:tcPr>
            <w:tcW w:w="87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2385E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Unerwünschtes Ereignis</w:t>
            </w:r>
          </w:p>
        </w:tc>
      </w:tr>
      <w:tr w:rsidR="00036C79" w:rsidRPr="00531776" w14:paraId="79323862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60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BI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61" w14:textId="77777777" w:rsidR="00036C79" w:rsidRPr="00531776" w:rsidRDefault="00D81D2E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Zuständige Behörde</w:t>
            </w:r>
          </w:p>
        </w:tc>
      </w:tr>
      <w:tr w:rsidR="00036C79" w:rsidRPr="00531776" w14:paraId="79323865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63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CBG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64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Amt für die Beurteilung von Arzneimitteln (</w:t>
            </w:r>
            <w:proofErr w:type="spellStart"/>
            <w:r w:rsidRPr="00531776">
              <w:rPr>
                <w:rFonts w:ascii="Arial" w:hAnsi="Arial"/>
                <w:sz w:val="16"/>
              </w:rPr>
              <w:t>EudraVigilance</w:t>
            </w:r>
            <w:proofErr w:type="spellEnd"/>
            <w:r w:rsidRPr="00531776">
              <w:rPr>
                <w:rFonts w:ascii="Arial" w:hAnsi="Arial"/>
                <w:sz w:val="16"/>
              </w:rPr>
              <w:t>)</w:t>
            </w:r>
          </w:p>
        </w:tc>
      </w:tr>
      <w:tr w:rsidR="00036C79" w:rsidRPr="00531776" w14:paraId="79323868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66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CCMO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67" w14:textId="7234173D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Zentrale Ethikkommission für Forschung am Menschen</w:t>
            </w:r>
            <w:r w:rsidR="00086D1D">
              <w:rPr>
                <w:rFonts w:ascii="Arial" w:hAnsi="Arial"/>
                <w:sz w:val="16"/>
              </w:rPr>
              <w:t xml:space="preserve"> (NL) </w:t>
            </w:r>
          </w:p>
        </w:tc>
      </w:tr>
      <w:tr w:rsidR="004B13BA" w:rsidRPr="00531776" w14:paraId="7932386B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69" w14:textId="77777777" w:rsidR="004B13BA" w:rsidRPr="00531776" w:rsidRDefault="004B13BA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CRA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6A" w14:textId="77777777" w:rsidR="004B13BA" w:rsidRPr="00531776" w:rsidRDefault="004B13BA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Klinischer Monitor</w:t>
            </w:r>
          </w:p>
        </w:tc>
      </w:tr>
      <w:tr w:rsidR="00036C79" w:rsidRPr="00531776" w14:paraId="7932386E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6C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CRF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6D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Fallberichtsformular</w:t>
            </w:r>
          </w:p>
        </w:tc>
      </w:tr>
      <w:tr w:rsidR="00036C79" w:rsidRPr="00531776" w14:paraId="79323871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6F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DSMB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70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Überwachungsgremium für Datensicherheit</w:t>
            </w:r>
          </w:p>
        </w:tc>
      </w:tr>
      <w:tr w:rsidR="00036C79" w:rsidRPr="00531776" w14:paraId="79323874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72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EMA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73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Europäische Arzneimittelbehörde</w:t>
            </w:r>
          </w:p>
        </w:tc>
      </w:tr>
      <w:tr w:rsidR="00036C79" w:rsidRPr="00531776" w14:paraId="79323877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75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IB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76" w14:textId="5C0DB1A8" w:rsidR="00036C79" w:rsidRPr="00531776" w:rsidRDefault="00ED3004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ED3004">
              <w:rPr>
                <w:rFonts w:ascii="Arial" w:hAnsi="Arial"/>
                <w:sz w:val="16"/>
              </w:rPr>
              <w:t>Prüfarztbroschüre</w:t>
            </w:r>
          </w:p>
        </w:tc>
      </w:tr>
      <w:tr w:rsidR="00036C79" w:rsidRPr="00531776" w14:paraId="7932387A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78" w14:textId="77777777" w:rsidR="00036C79" w:rsidRPr="00531776" w:rsidRDefault="00E245F5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METc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79" w14:textId="77777777" w:rsidR="00036C79" w:rsidRPr="00531776" w:rsidRDefault="00E245F5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Medizinisch-ethischer Prüfungsausschuss</w:t>
            </w:r>
          </w:p>
        </w:tc>
      </w:tr>
      <w:tr w:rsidR="00036C79" w:rsidRPr="00531776" w14:paraId="7932387D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7B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SAE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7C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Schwerwiegendes unerwünschtes Ereignis</w:t>
            </w:r>
          </w:p>
        </w:tc>
      </w:tr>
      <w:tr w:rsidR="00036C79" w:rsidRPr="00531776" w14:paraId="79323880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7E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SAR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7F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 xml:space="preserve">Schwerwiegende Nebenwirkung </w:t>
            </w:r>
          </w:p>
        </w:tc>
      </w:tr>
      <w:tr w:rsidR="00036C79" w:rsidRPr="00531776" w14:paraId="79323883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81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SPC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82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Zusammenfassung der Produkteigenschaften</w:t>
            </w:r>
          </w:p>
        </w:tc>
      </w:tr>
      <w:tr w:rsidR="00036C79" w:rsidRPr="00531776" w14:paraId="79323886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84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SUSAR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85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Verdacht auf unerwartete schwerwiegende Nebenwirkung</w:t>
            </w:r>
          </w:p>
        </w:tc>
      </w:tr>
      <w:tr w:rsidR="00036C79" w:rsidRPr="00531776" w14:paraId="79323889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87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TC</w:t>
            </w:r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88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Überprüfungskommission</w:t>
            </w:r>
          </w:p>
        </w:tc>
      </w:tr>
      <w:tr w:rsidR="00036C79" w:rsidRPr="00531776" w14:paraId="7932388C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32388A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proofErr w:type="spellStart"/>
            <w:r w:rsidRPr="00531776">
              <w:rPr>
                <w:rFonts w:ascii="Arial" w:hAnsi="Arial"/>
                <w:sz w:val="16"/>
              </w:rPr>
              <w:t>ToL</w:t>
            </w:r>
            <w:proofErr w:type="spellEnd"/>
          </w:p>
        </w:tc>
        <w:tc>
          <w:tcPr>
            <w:tcW w:w="8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388B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ToetsingOnline (CCMO)</w:t>
            </w:r>
          </w:p>
        </w:tc>
      </w:tr>
      <w:tr w:rsidR="00036C79" w:rsidRPr="00531776" w14:paraId="7932388F" w14:textId="77777777" w:rsidTr="00036C79">
        <w:trPr>
          <w:trHeight w:val="192"/>
        </w:trPr>
        <w:tc>
          <w:tcPr>
            <w:tcW w:w="13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2388D" w14:textId="77777777" w:rsidR="00036C79" w:rsidRPr="00531776" w:rsidRDefault="00036C79" w:rsidP="00814794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WMO</w:t>
            </w:r>
          </w:p>
        </w:tc>
        <w:tc>
          <w:tcPr>
            <w:tcW w:w="877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2388E" w14:textId="77777777" w:rsidR="00036C79" w:rsidRPr="00531776" w:rsidRDefault="00036C79" w:rsidP="00814794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 w:rsidRPr="00531776">
              <w:rPr>
                <w:rFonts w:ascii="Arial" w:hAnsi="Arial"/>
                <w:sz w:val="16"/>
              </w:rPr>
              <w:t>Gesetz über medizinische Forschung am Menschen</w:t>
            </w:r>
          </w:p>
        </w:tc>
      </w:tr>
    </w:tbl>
    <w:p w14:paraId="79323890" w14:textId="77777777" w:rsidR="001C46F0" w:rsidRPr="00531776" w:rsidRDefault="001C46F0" w:rsidP="009002FD">
      <w:pPr>
        <w:rPr>
          <w:rFonts w:cs="Arial"/>
        </w:rPr>
      </w:pPr>
    </w:p>
    <w:p w14:paraId="79323891" w14:textId="77777777" w:rsidR="009002FD" w:rsidRPr="00531776" w:rsidRDefault="009002FD" w:rsidP="009002FD">
      <w:pPr>
        <w:pStyle w:val="MMkop2"/>
        <w:rPr>
          <w:sz w:val="22"/>
          <w:szCs w:val="22"/>
        </w:rPr>
      </w:pPr>
      <w:r w:rsidRPr="00531776">
        <w:rPr>
          <w:sz w:val="22"/>
        </w:rPr>
        <w:lastRenderedPageBreak/>
        <w:t>Einführung</w:t>
      </w:r>
    </w:p>
    <w:p w14:paraId="79323892" w14:textId="77777777" w:rsidR="009002FD" w:rsidRPr="00531776" w:rsidRDefault="009002FD" w:rsidP="009002FD">
      <w:pPr>
        <w:rPr>
          <w:rFonts w:cs="Arial"/>
        </w:rPr>
      </w:pPr>
      <w:r w:rsidRPr="00531776">
        <w:t xml:space="preserve">Als Ausrichter der ACTION-1-Studie ist das Dijklander Ziekenhuis (DLZ) verpflichtet, </w:t>
      </w:r>
      <w:r w:rsidRPr="00531776">
        <w:rPr>
          <w:u w:val="single"/>
        </w:rPr>
        <w:t xml:space="preserve">alle </w:t>
      </w:r>
      <w:r w:rsidRPr="00531776">
        <w:t xml:space="preserve">schwerwiegenden unerwünschten Ereignisse (SAE) und schwerwiegenden unerwarteten Nebenwirkungen (SUSAR) an die Ethikkommission (METC) und die zuständige Behörde (BI) CCMO zu melden. </w:t>
      </w:r>
    </w:p>
    <w:p w14:paraId="79323893" w14:textId="77777777" w:rsidR="004E076E" w:rsidRPr="00531776" w:rsidRDefault="00B953EA" w:rsidP="00D052A4">
      <w:pPr>
        <w:pStyle w:val="Geenafstand"/>
        <w:rPr>
          <w:rFonts w:cs="Arial"/>
        </w:rPr>
      </w:pPr>
      <w:r w:rsidRPr="00531776">
        <w:t xml:space="preserve">Bei der ACTION-1-Studie liegt der Fokus auf Komplikationen (Ereignissen) wie </w:t>
      </w:r>
      <w:r w:rsidRPr="00531776">
        <w:rPr>
          <w:b/>
        </w:rPr>
        <w:t>TEK</w:t>
      </w:r>
      <w:r w:rsidRPr="00531776">
        <w:t xml:space="preserve">, </w:t>
      </w:r>
      <w:r w:rsidRPr="00531776">
        <w:rPr>
          <w:b/>
        </w:rPr>
        <w:t xml:space="preserve">Blutungskomplikationen </w:t>
      </w:r>
      <w:r w:rsidRPr="00531776">
        <w:t>und</w:t>
      </w:r>
      <w:r w:rsidRPr="00531776">
        <w:rPr>
          <w:b/>
        </w:rPr>
        <w:t xml:space="preserve"> Nicht-TEK</w:t>
      </w:r>
      <w:r w:rsidRPr="00531776">
        <w:t xml:space="preserve">, die </w:t>
      </w:r>
      <w:r w:rsidRPr="00531776">
        <w:rPr>
          <w:color w:val="FF0000"/>
        </w:rPr>
        <w:t xml:space="preserve">während der Operation </w:t>
      </w:r>
      <w:r w:rsidRPr="00531776">
        <w:t xml:space="preserve">und </w:t>
      </w:r>
      <w:r w:rsidRPr="00531776">
        <w:rPr>
          <w:color w:val="FF0000"/>
        </w:rPr>
        <w:t>innerhalb von 30 Tagen nach der Operation oder während desselben Krankenhausaufenthalts</w:t>
      </w:r>
      <w:r w:rsidRPr="00531776">
        <w:t xml:space="preserve"> aufgetreten sind. </w:t>
      </w:r>
    </w:p>
    <w:p w14:paraId="79323894" w14:textId="77777777" w:rsidR="00184301" w:rsidRPr="00531776" w:rsidRDefault="00184301" w:rsidP="00D052A4">
      <w:pPr>
        <w:pStyle w:val="Geenafstand"/>
        <w:rPr>
          <w:rFonts w:cs="Arial"/>
        </w:rPr>
      </w:pPr>
    </w:p>
    <w:p w14:paraId="79323896" w14:textId="77777777" w:rsidR="00602ADC" w:rsidRPr="00531776" w:rsidRDefault="00602ADC" w:rsidP="00D052A4">
      <w:pPr>
        <w:pStyle w:val="Geenafstand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4E076E" w:rsidRPr="00531776" w14:paraId="7932389A" w14:textId="77777777" w:rsidTr="004E076E">
        <w:tc>
          <w:tcPr>
            <w:tcW w:w="9458" w:type="dxa"/>
          </w:tcPr>
          <w:p w14:paraId="79323897" w14:textId="77777777" w:rsidR="004E076E" w:rsidRPr="00531776" w:rsidRDefault="004E076E" w:rsidP="004E076E">
            <w:pPr>
              <w:rPr>
                <w:rFonts w:cs="Arial"/>
                <w:color w:val="0000FF"/>
              </w:rPr>
            </w:pPr>
            <w:r w:rsidRPr="00531776">
              <w:rPr>
                <w:color w:val="0000FF"/>
              </w:rPr>
              <w:t xml:space="preserve">Definition von </w:t>
            </w:r>
            <w:r w:rsidRPr="00531776">
              <w:rPr>
                <w:b/>
                <w:color w:val="0000FF"/>
              </w:rPr>
              <w:t>TEK</w:t>
            </w:r>
            <w:r w:rsidRPr="00531776">
              <w:rPr>
                <w:color w:val="0000FF"/>
              </w:rPr>
              <w:t xml:space="preserve"> und </w:t>
            </w:r>
            <w:r w:rsidRPr="00531776">
              <w:rPr>
                <w:b/>
                <w:color w:val="0000FF"/>
              </w:rPr>
              <w:t>Blutungskomplikationen</w:t>
            </w:r>
            <w:r w:rsidRPr="00531776">
              <w:rPr>
                <w:color w:val="0000FF"/>
              </w:rPr>
              <w:t>:</w:t>
            </w:r>
          </w:p>
          <w:p w14:paraId="79323898" w14:textId="77777777" w:rsidR="004E076E" w:rsidRPr="00531776" w:rsidRDefault="004E076E" w:rsidP="004E076E">
            <w:pPr>
              <w:pStyle w:val="Geenafstand"/>
            </w:pPr>
            <w:r w:rsidRPr="00531776">
              <w:rPr>
                <w:b/>
              </w:rPr>
              <w:t xml:space="preserve">TEK </w:t>
            </w:r>
            <w:r w:rsidRPr="00531776">
              <w:t xml:space="preserve">sind Komplikationen, die während einer Operation aufgrund eines Thrombus oder einer Embolie aufgetreten sind. Dazu zählen unter anderem: Myokardinfarkt, Beinischämie, tiefe Venenthrombose, Kolonischämie, TIA/Schlaganfall, Transplantatthrombose, </w:t>
            </w:r>
            <w:proofErr w:type="spellStart"/>
            <w:r w:rsidRPr="00531776">
              <w:t>perioperative</w:t>
            </w:r>
            <w:proofErr w:type="spellEnd"/>
            <w:r w:rsidRPr="00531776">
              <w:t xml:space="preserve"> Thrombose, die eine </w:t>
            </w:r>
            <w:proofErr w:type="spellStart"/>
            <w:r w:rsidRPr="00531776">
              <w:t>Embolektomie</w:t>
            </w:r>
            <w:proofErr w:type="spellEnd"/>
            <w:r w:rsidRPr="00531776">
              <w:t xml:space="preserve"> oder das erneute Durchführen einer Anastomose erfordert, Thrombus oder Embolie in Organen oder unteren Extremitäten sowie andere periphere Thrombosen.</w:t>
            </w:r>
          </w:p>
          <w:p w14:paraId="79323899" w14:textId="77777777" w:rsidR="004E076E" w:rsidRPr="00531776" w:rsidRDefault="004E076E" w:rsidP="00821CD1">
            <w:pPr>
              <w:pStyle w:val="Geenafstand"/>
            </w:pPr>
            <w:r w:rsidRPr="00531776">
              <w:rPr>
                <w:b/>
              </w:rPr>
              <w:t>Blutungskomplikationen</w:t>
            </w:r>
            <w:r w:rsidRPr="00531776">
              <w:rPr>
                <w:color w:val="222222"/>
              </w:rPr>
              <w:t xml:space="preserve"> nach E-CABG-Klassifikation, Grad 1 und höher. </w:t>
            </w:r>
          </w:p>
        </w:tc>
      </w:tr>
    </w:tbl>
    <w:p w14:paraId="7932389B" w14:textId="77777777" w:rsidR="004E076E" w:rsidRPr="00531776" w:rsidRDefault="004E076E" w:rsidP="009002FD">
      <w:pPr>
        <w:rPr>
          <w:rFonts w:cs="Arial"/>
          <w:color w:val="0000FF"/>
        </w:rPr>
      </w:pPr>
    </w:p>
    <w:p w14:paraId="7932389C" w14:textId="77777777" w:rsidR="00D81D2E" w:rsidRPr="00531776" w:rsidRDefault="00D81D2E" w:rsidP="009002FD">
      <w:pPr>
        <w:rPr>
          <w:rFonts w:cs="Arial"/>
          <w:color w:val="0000FF"/>
        </w:rPr>
      </w:pPr>
    </w:p>
    <w:p w14:paraId="7932389D" w14:textId="77777777" w:rsidR="007703C4" w:rsidRPr="00531776" w:rsidRDefault="007703C4" w:rsidP="009002FD">
      <w:pPr>
        <w:rPr>
          <w:rFonts w:cs="Arial"/>
          <w:color w:val="0000FF"/>
        </w:rPr>
      </w:pPr>
    </w:p>
    <w:p w14:paraId="7932389E" w14:textId="77777777" w:rsidR="00790252" w:rsidRPr="00531776" w:rsidRDefault="00790252" w:rsidP="0063549A">
      <w:pPr>
        <w:pStyle w:val="Geenafstand"/>
        <w:rPr>
          <w:b/>
        </w:rPr>
      </w:pPr>
      <w:r w:rsidRPr="00531776">
        <w:rPr>
          <w:b/>
        </w:rPr>
        <w:t>Beschreibung der Ereignistypen</w:t>
      </w:r>
    </w:p>
    <w:p w14:paraId="7932389F" w14:textId="77777777" w:rsidR="00D97E51" w:rsidRPr="00531776" w:rsidRDefault="00D97E51" w:rsidP="0063549A">
      <w:pPr>
        <w:pStyle w:val="Geenafstand"/>
        <w:rPr>
          <w:b/>
          <w:color w:val="0000FF"/>
        </w:rPr>
      </w:pPr>
    </w:p>
    <w:p w14:paraId="793238A0" w14:textId="77777777" w:rsidR="0063549A" w:rsidRPr="00531776" w:rsidRDefault="00D258A9" w:rsidP="0063549A">
      <w:pPr>
        <w:pStyle w:val="Geenafstand"/>
        <w:rPr>
          <w:b/>
          <w:color w:val="0000FF"/>
        </w:rPr>
      </w:pPr>
      <w:r w:rsidRPr="00531776">
        <w:rPr>
          <w:b/>
          <w:color w:val="0000FF"/>
        </w:rPr>
        <w:t xml:space="preserve">Unerwünschtes Ereignis (AE)     </w:t>
      </w:r>
      <w:r w:rsidRPr="00531776">
        <w:t>(Art. 1 Abs. 1q/Art. 13o Absatz 1 WMO)</w:t>
      </w:r>
    </w:p>
    <w:p w14:paraId="793238A1" w14:textId="4CAE07CC" w:rsidR="00E863EA" w:rsidRPr="00531776" w:rsidRDefault="00D258A9" w:rsidP="00D258A9">
      <w:pPr>
        <w:pStyle w:val="Geenafstand"/>
      </w:pPr>
      <w:r w:rsidRPr="00531776">
        <w:t xml:space="preserve">Ein </w:t>
      </w:r>
      <w:r w:rsidRPr="00531776">
        <w:rPr>
          <w:color w:val="0000FF"/>
        </w:rPr>
        <w:t xml:space="preserve">unerwünschtes medizinisches Ereignis </w:t>
      </w:r>
      <w:r w:rsidRPr="00531776">
        <w:t xml:space="preserve">bei einem Probanden, das nicht unbedingt mit der Intervention zusammenhängt, trat &lt; 30 Tage nach </w:t>
      </w:r>
      <w:r w:rsidR="004859FA">
        <w:t xml:space="preserve">der Operation oder während </w:t>
      </w:r>
      <w:r w:rsidRPr="00531776">
        <w:t>de</w:t>
      </w:r>
      <w:r w:rsidR="004859FA">
        <w:t>s</w:t>
      </w:r>
      <w:r w:rsidRPr="00531776">
        <w:t xml:space="preserve"> gleichen Krankenhausaufenthalt</w:t>
      </w:r>
      <w:r w:rsidR="004859FA">
        <w:t>s</w:t>
      </w:r>
      <w:r w:rsidRPr="00531776">
        <w:t xml:space="preserve"> auf.</w:t>
      </w:r>
    </w:p>
    <w:p w14:paraId="793238A2" w14:textId="54098110" w:rsidR="006A7207" w:rsidRPr="00531776" w:rsidRDefault="007703C4" w:rsidP="00D258A9">
      <w:pPr>
        <w:pStyle w:val="Geenafstand"/>
      </w:pPr>
      <w:r w:rsidRPr="00531776">
        <w:t>Alle aufgetretenen Komplikationen</w:t>
      </w:r>
      <w:r w:rsidR="004859FA">
        <w:t>:</w:t>
      </w:r>
      <w:r w:rsidRPr="00531776">
        <w:t xml:space="preserve"> Unerwünschtes Ereignis (AE).</w:t>
      </w:r>
    </w:p>
    <w:p w14:paraId="793238A3" w14:textId="77777777" w:rsidR="00AC27B0" w:rsidRPr="00531776" w:rsidRDefault="00AC27B0" w:rsidP="006A7207">
      <w:pPr>
        <w:pStyle w:val="Geenafstand"/>
        <w:rPr>
          <w:b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AC27B0" w:rsidRPr="00531776" w14:paraId="793238A7" w14:textId="77777777" w:rsidTr="00AC27B0">
        <w:tc>
          <w:tcPr>
            <w:tcW w:w="9458" w:type="dxa"/>
          </w:tcPr>
          <w:p w14:paraId="793238A4" w14:textId="77777777" w:rsidR="00AC27B0" w:rsidRPr="00531776" w:rsidRDefault="00AC27B0" w:rsidP="00AC27B0">
            <w:pPr>
              <w:pStyle w:val="Geenafstand"/>
              <w:rPr>
                <w:b/>
                <w:color w:val="FF0000"/>
              </w:rPr>
            </w:pPr>
          </w:p>
          <w:p w14:paraId="793238A5" w14:textId="60FF4D7B" w:rsidR="0040205D" w:rsidRPr="00531776" w:rsidRDefault="0040205D" w:rsidP="0040205D">
            <w:pPr>
              <w:pStyle w:val="Geenafstand"/>
              <w:rPr>
                <w:color w:val="FF0000"/>
              </w:rPr>
            </w:pPr>
            <w:r w:rsidRPr="00531776">
              <w:rPr>
                <w:b/>
                <w:color w:val="FF0000"/>
              </w:rPr>
              <w:lastRenderedPageBreak/>
              <w:t xml:space="preserve">Der (HAUPT-)PRÜFER VOR ORT erfasst alle aufgetretenen AE im eCRF CASTOR EDC, </w:t>
            </w:r>
            <w:r w:rsidR="004859FA">
              <w:rPr>
                <w:b/>
                <w:color w:val="FF0000"/>
              </w:rPr>
              <w:t xml:space="preserve">d.h. </w:t>
            </w:r>
            <w:r w:rsidRPr="00531776">
              <w:rPr>
                <w:b/>
                <w:color w:val="FF0000"/>
              </w:rPr>
              <w:t>nicht nur TEK, Nicht-TEK und Blutungskomplikationen.</w:t>
            </w:r>
          </w:p>
          <w:p w14:paraId="793238A6" w14:textId="77777777" w:rsidR="00AC27B0" w:rsidRPr="00531776" w:rsidRDefault="00AC27B0" w:rsidP="006A7207">
            <w:pPr>
              <w:pStyle w:val="Geenafstand"/>
              <w:rPr>
                <w:b/>
                <w:color w:val="FF0000"/>
              </w:rPr>
            </w:pPr>
          </w:p>
        </w:tc>
      </w:tr>
    </w:tbl>
    <w:p w14:paraId="793238A8" w14:textId="77777777" w:rsidR="00AC27B0" w:rsidRPr="00531776" w:rsidRDefault="00AC27B0" w:rsidP="006A7207">
      <w:pPr>
        <w:pStyle w:val="Geenafstand"/>
        <w:rPr>
          <w:b/>
          <w:color w:val="FF0000"/>
        </w:rPr>
      </w:pPr>
    </w:p>
    <w:p w14:paraId="793238A9" w14:textId="77777777" w:rsidR="006A7207" w:rsidRPr="00531776" w:rsidRDefault="006A7207" w:rsidP="00D258A9">
      <w:pPr>
        <w:pStyle w:val="Geenafstand"/>
      </w:pPr>
    </w:p>
    <w:p w14:paraId="793238AA" w14:textId="789B3C92" w:rsidR="0063549A" w:rsidRPr="00531776" w:rsidRDefault="004859FA" w:rsidP="00D258A9">
      <w:pPr>
        <w:pStyle w:val="Default"/>
        <w:rPr>
          <w:sz w:val="22"/>
          <w:szCs w:val="22"/>
        </w:rPr>
      </w:pPr>
      <w:r>
        <w:rPr>
          <w:rFonts w:asciiTheme="minorHAnsi" w:hAnsiTheme="minorHAnsi"/>
          <w:b/>
          <w:color w:val="0000FF"/>
          <w:sz w:val="22"/>
        </w:rPr>
        <w:t>Schwerwiegendes u</w:t>
      </w:r>
      <w:r w:rsidR="0063549A" w:rsidRPr="00531776">
        <w:rPr>
          <w:rFonts w:asciiTheme="minorHAnsi" w:hAnsiTheme="minorHAnsi"/>
          <w:b/>
          <w:color w:val="0000FF"/>
          <w:sz w:val="22"/>
        </w:rPr>
        <w:t>nerwünschtes Ereignis (SAE)</w:t>
      </w:r>
      <w:r w:rsidR="0063549A" w:rsidRPr="00531776">
        <w:rPr>
          <w:b/>
          <w:color w:val="0000FF"/>
        </w:rPr>
        <w:t xml:space="preserve"> </w:t>
      </w:r>
      <w:r w:rsidR="0063549A" w:rsidRPr="00531776">
        <w:rPr>
          <w:color w:val="auto"/>
          <w:sz w:val="22"/>
        </w:rPr>
        <w:t>(Art. 1 Abs. 1s und Art. 10 Absatz 6 WMO)</w:t>
      </w:r>
    </w:p>
    <w:p w14:paraId="793238AB" w14:textId="77777777" w:rsidR="0063549A" w:rsidRPr="00531776" w:rsidRDefault="00E95450" w:rsidP="0063549A">
      <w:pPr>
        <w:pStyle w:val="Geenafstand"/>
      </w:pPr>
      <w:r w:rsidRPr="00531776">
        <w:t xml:space="preserve">Ein </w:t>
      </w:r>
      <w:r w:rsidRPr="00531776">
        <w:rPr>
          <w:color w:val="0000FF"/>
        </w:rPr>
        <w:t xml:space="preserve">schwerwiegendes unerwünschtes medizinisches Ereignis </w:t>
      </w:r>
      <w:r w:rsidRPr="00531776">
        <w:t xml:space="preserve">bei einem Probanden, das </w:t>
      </w:r>
      <w:r w:rsidRPr="00531776">
        <w:rPr>
          <w:b/>
        </w:rPr>
        <w:t>nicht</w:t>
      </w:r>
      <w:r w:rsidRPr="00531776">
        <w:t xml:space="preserve"> unbedingt in einem kausalen Zusammenhang mit der Intervention steht. Man spricht bei einem SAE von einem unerwünschten medizinischen Ereignis einem Probanden:</w:t>
      </w:r>
    </w:p>
    <w:p w14:paraId="793238AC" w14:textId="77777777" w:rsidR="0063549A" w:rsidRPr="00531776" w:rsidRDefault="0040205D" w:rsidP="0063549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531776">
        <w:t xml:space="preserve">bei Todesfolge </w:t>
      </w:r>
      <w:r w:rsidRPr="00531776">
        <w:rPr>
          <w:b/>
        </w:rPr>
        <w:t xml:space="preserve">     oder</w:t>
      </w:r>
    </w:p>
    <w:p w14:paraId="793238AD" w14:textId="36245B2E" w:rsidR="0063549A" w:rsidRPr="00531776" w:rsidRDefault="0063549A" w:rsidP="0063549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531776">
        <w:t>wenn dies zu einer lebensbedrohlichen Gefahr für den Probanden führt</w:t>
      </w:r>
      <w:r w:rsidR="009C1FA9" w:rsidRPr="00531776">
        <w:tab/>
      </w:r>
      <w:r w:rsidRPr="00531776">
        <w:rPr>
          <w:b/>
        </w:rPr>
        <w:t>und/oder</w:t>
      </w:r>
    </w:p>
    <w:p w14:paraId="793238AE" w14:textId="77777777" w:rsidR="0063549A" w:rsidRPr="00531776" w:rsidRDefault="0063549A" w:rsidP="00D052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531776">
        <w:t xml:space="preserve">wenn dieses einen Krankenhausaufenthalt oder die Verlängerung eines bestehenden Krankenhausaufenthaltes erfordert </w:t>
      </w:r>
      <w:r w:rsidRPr="00531776">
        <w:rPr>
          <w:b/>
        </w:rPr>
        <w:t xml:space="preserve">      und/oder</w:t>
      </w:r>
    </w:p>
    <w:p w14:paraId="793238AF" w14:textId="32F27B04" w:rsidR="0063549A" w:rsidRPr="00531776" w:rsidRDefault="0063549A" w:rsidP="0063549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531776">
        <w:t>wenn diese</w:t>
      </w:r>
      <w:r w:rsidR="004859FA">
        <w:t>s</w:t>
      </w:r>
      <w:r w:rsidRPr="00531776">
        <w:t xml:space="preserve"> eine dauerhafte oder signifikante Behinderung oder Arbeitsunfähigkeit verursacht </w:t>
      </w:r>
      <w:r w:rsidRPr="00531776">
        <w:rPr>
          <w:b/>
        </w:rPr>
        <w:t xml:space="preserve">           oder</w:t>
      </w:r>
    </w:p>
    <w:p w14:paraId="793238B0" w14:textId="6F63EACD" w:rsidR="0063549A" w:rsidRPr="00531776" w:rsidRDefault="00C6550F" w:rsidP="0063549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 xml:space="preserve">wenn </w:t>
      </w:r>
      <w:r w:rsidR="0063549A" w:rsidRPr="00531776">
        <w:t>diese</w:t>
      </w:r>
      <w:r>
        <w:t>s sich</w:t>
      </w:r>
      <w:r w:rsidR="0063549A" w:rsidRPr="00531776">
        <w:t xml:space="preserve"> in eine</w:t>
      </w:r>
      <w:r>
        <w:t>r</w:t>
      </w:r>
      <w:r w:rsidR="0063549A" w:rsidRPr="00531776">
        <w:t xml:space="preserve"> angeborene</w:t>
      </w:r>
      <w:r>
        <w:t>n</w:t>
      </w:r>
      <w:r w:rsidR="0063549A" w:rsidRPr="00531776">
        <w:t xml:space="preserve"> Anomalie oder Fehlbildung </w:t>
      </w:r>
      <w:r>
        <w:t>äußert</w:t>
      </w:r>
      <w:r w:rsidR="0063549A" w:rsidRPr="00531776">
        <w:t xml:space="preserve"> </w:t>
      </w:r>
      <w:r w:rsidR="0063549A" w:rsidRPr="00531776">
        <w:rPr>
          <w:b/>
        </w:rPr>
        <w:t xml:space="preserve">              oder</w:t>
      </w:r>
    </w:p>
    <w:p w14:paraId="793238B1" w14:textId="66C1356E" w:rsidR="0063549A" w:rsidRPr="00531776" w:rsidRDefault="00C6550F" w:rsidP="0063549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 xml:space="preserve">wenn </w:t>
      </w:r>
      <w:r w:rsidR="0063549A" w:rsidRPr="00531776">
        <w:t>die</w:t>
      </w:r>
      <w:r>
        <w:t>ses</w:t>
      </w:r>
      <w:r w:rsidR="0063549A" w:rsidRPr="00531776">
        <w:t xml:space="preserve"> sich nach Meinung desjenigen, der die wissenschaftliche Studie durchführt, zu einem schwerwiegenden unerwünschten Ereignis hätte entwickeln können, aber nicht als Folge der Intervention eingetreten </w:t>
      </w:r>
      <w:r>
        <w:t>ist</w:t>
      </w:r>
      <w:r w:rsidR="0063549A" w:rsidRPr="00531776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8F539A" w:rsidRPr="00531776" w14:paraId="793238B7" w14:textId="77777777" w:rsidTr="008F539A">
        <w:tc>
          <w:tcPr>
            <w:tcW w:w="9458" w:type="dxa"/>
          </w:tcPr>
          <w:p w14:paraId="793238B2" w14:textId="77777777" w:rsidR="008F539A" w:rsidRPr="00531776" w:rsidRDefault="008F539A" w:rsidP="008F539A">
            <w:pPr>
              <w:pStyle w:val="Geenafstand"/>
              <w:spacing w:line="276" w:lineRule="auto"/>
              <w:rPr>
                <w:b/>
                <w:color w:val="FF0000"/>
              </w:rPr>
            </w:pPr>
          </w:p>
          <w:p w14:paraId="793238B3" w14:textId="77777777" w:rsidR="0040205D" w:rsidRPr="00531776" w:rsidRDefault="0040205D" w:rsidP="0040205D">
            <w:pPr>
              <w:pStyle w:val="Geenafstand"/>
              <w:rPr>
                <w:b/>
                <w:color w:val="FF0000"/>
              </w:rPr>
            </w:pPr>
            <w:r w:rsidRPr="00531776">
              <w:rPr>
                <w:b/>
                <w:color w:val="FF0000"/>
              </w:rPr>
              <w:t>Für die ACTION-1 sind alle SAE &lt; 24 Stunden nach Kenntniserlangung über das SAE-Meldeformular an den AUSRICHTER zu senden.</w:t>
            </w:r>
          </w:p>
          <w:p w14:paraId="793238B4" w14:textId="77777777" w:rsidR="0040205D" w:rsidRPr="00531776" w:rsidRDefault="0040205D" w:rsidP="0040205D">
            <w:pPr>
              <w:pStyle w:val="Geenafstand"/>
              <w:spacing w:line="276" w:lineRule="auto"/>
              <w:rPr>
                <w:b/>
                <w:color w:val="FF0000"/>
              </w:rPr>
            </w:pPr>
          </w:p>
          <w:p w14:paraId="793238B5" w14:textId="5B4323E4" w:rsidR="0040205D" w:rsidRPr="00531776" w:rsidRDefault="0040205D" w:rsidP="0040205D">
            <w:pPr>
              <w:pStyle w:val="Geenafstand"/>
              <w:spacing w:line="276" w:lineRule="auto"/>
              <w:rPr>
                <w:b/>
                <w:color w:val="FF0000"/>
              </w:rPr>
            </w:pPr>
            <w:r w:rsidRPr="00531776">
              <w:rPr>
                <w:b/>
                <w:color w:val="FF0000"/>
              </w:rPr>
              <w:t xml:space="preserve">Der (HAUPT-)PRÜFER wird alle Komplikationen </w:t>
            </w:r>
            <w:r w:rsidR="009D6719">
              <w:rPr>
                <w:b/>
                <w:color w:val="FF0000"/>
              </w:rPr>
              <w:t xml:space="preserve"> (</w:t>
            </w:r>
            <w:proofErr w:type="spellStart"/>
            <w:r w:rsidR="009D6719">
              <w:rPr>
                <w:b/>
                <w:color w:val="FF0000"/>
              </w:rPr>
              <w:t>AE’s</w:t>
            </w:r>
            <w:proofErr w:type="spellEnd"/>
            <w:r w:rsidR="009D6719">
              <w:rPr>
                <w:b/>
                <w:color w:val="FF0000"/>
              </w:rPr>
              <w:t xml:space="preserve">) </w:t>
            </w:r>
            <w:r w:rsidRPr="00531776">
              <w:rPr>
                <w:b/>
                <w:color w:val="FF0000"/>
              </w:rPr>
              <w:t>im eCRF CASTOR EDC erfassen.</w:t>
            </w:r>
          </w:p>
          <w:p w14:paraId="793238B6" w14:textId="77777777" w:rsidR="0083653B" w:rsidRPr="00531776" w:rsidRDefault="0083653B" w:rsidP="00AC27B0">
            <w:pPr>
              <w:pStyle w:val="Geenafstand"/>
              <w:rPr>
                <w:b/>
                <w:color w:val="0000FF"/>
              </w:rPr>
            </w:pPr>
          </w:p>
        </w:tc>
      </w:tr>
    </w:tbl>
    <w:p w14:paraId="793238B8" w14:textId="77777777" w:rsidR="00E863EA" w:rsidRPr="00531776" w:rsidRDefault="00E863EA" w:rsidP="00D258A9">
      <w:pPr>
        <w:pStyle w:val="Geenafstand"/>
        <w:spacing w:line="276" w:lineRule="auto"/>
        <w:rPr>
          <w:b/>
          <w:color w:val="0000FF"/>
        </w:rPr>
      </w:pPr>
    </w:p>
    <w:p w14:paraId="793238B9" w14:textId="51182B9F" w:rsidR="0063549A" w:rsidRPr="00531776" w:rsidRDefault="00C6550F" w:rsidP="00D258A9">
      <w:pPr>
        <w:pStyle w:val="Geenafstand"/>
        <w:spacing w:line="276" w:lineRule="auto"/>
        <w:rPr>
          <w:b/>
        </w:rPr>
      </w:pPr>
      <w:r>
        <w:rPr>
          <w:b/>
          <w:color w:val="0000FF"/>
        </w:rPr>
        <w:t>Schwerwiegende Nebenwirkung</w:t>
      </w:r>
      <w:r w:rsidR="0063549A" w:rsidRPr="00531776">
        <w:rPr>
          <w:b/>
          <w:color w:val="0000FF"/>
        </w:rPr>
        <w:t xml:space="preserve"> (SAR)</w:t>
      </w:r>
      <w:r w:rsidR="0063549A" w:rsidRPr="00531776">
        <w:t xml:space="preserve">  </w:t>
      </w:r>
      <w:r w:rsidR="0063549A" w:rsidRPr="00531776">
        <w:rPr>
          <w:sz w:val="20"/>
        </w:rPr>
        <w:t>(Art. 10 Absatz 1 WMO+ Leitfaden WMO)</w:t>
      </w:r>
    </w:p>
    <w:p w14:paraId="793238BA" w14:textId="77777777" w:rsidR="000F3359" w:rsidRPr="00531776" w:rsidRDefault="00790252" w:rsidP="000F3359">
      <w:r w:rsidRPr="00531776">
        <w:lastRenderedPageBreak/>
        <w:t xml:space="preserve">Ist eine </w:t>
      </w:r>
      <w:r w:rsidRPr="00531776">
        <w:rPr>
          <w:u w:val="single"/>
        </w:rPr>
        <w:t>ernste Nebenwirkung</w:t>
      </w:r>
      <w:r w:rsidRPr="00531776">
        <w:t xml:space="preserve"> (</w:t>
      </w:r>
      <w:proofErr w:type="spellStart"/>
      <w:r w:rsidRPr="00531776">
        <w:t>serious</w:t>
      </w:r>
      <w:proofErr w:type="spellEnd"/>
      <w:r w:rsidRPr="00531776">
        <w:t xml:space="preserve">). Es ist eine </w:t>
      </w:r>
      <w:r w:rsidRPr="00531776">
        <w:rPr>
          <w:u w:val="single"/>
        </w:rPr>
        <w:t>unerwünschte Nebenwirkung</w:t>
      </w:r>
      <w:r w:rsidRPr="00531776">
        <w:t xml:space="preserve">  aufgetreten (möglicher kausaler Zusammenhang mit dem verabreichten Produkt) (siehe SUSAR-Definition auf der nächsten Seite). Die Nebenwirkung wird erwartet, d. h. die Art und der Schweregrad stimmen mit den verfügbaren Informationen über das Produkt, der Zusammenfassung der Produkteigenschaften (SPC), überein.</w:t>
      </w:r>
    </w:p>
    <w:p w14:paraId="793238BB" w14:textId="77777777" w:rsidR="00821CD1" w:rsidRPr="00531776" w:rsidRDefault="00821CD1" w:rsidP="00790252">
      <w:pPr>
        <w:pStyle w:val="Geenafstand"/>
        <w:rPr>
          <w:b/>
          <w:color w:val="0000FF"/>
        </w:rPr>
      </w:pPr>
    </w:p>
    <w:p w14:paraId="793238BC" w14:textId="77777777" w:rsidR="00790252" w:rsidRPr="00531776" w:rsidRDefault="00790252" w:rsidP="00790252">
      <w:pPr>
        <w:pStyle w:val="Geenafstand"/>
        <w:rPr>
          <w:color w:val="0000FF"/>
          <w:sz w:val="20"/>
          <w:szCs w:val="20"/>
        </w:rPr>
      </w:pPr>
      <w:r w:rsidRPr="00531776">
        <w:rPr>
          <w:b/>
          <w:color w:val="0000FF"/>
        </w:rPr>
        <w:t xml:space="preserve">Verdacht auf eine unerwartete schwerwiegende Nebenwirkung (SUSAR)  </w:t>
      </w:r>
      <w:r w:rsidRPr="00531776">
        <w:rPr>
          <w:color w:val="0000FF"/>
          <w:sz w:val="20"/>
        </w:rPr>
        <w:t>Wenn die folgenden 3 Bedingungen erfüllt sind:</w:t>
      </w:r>
    </w:p>
    <w:p w14:paraId="793238BD" w14:textId="220E44A8" w:rsidR="000F3359" w:rsidRPr="00531776" w:rsidRDefault="000F3359" w:rsidP="00790252">
      <w:pPr>
        <w:pStyle w:val="Geenafstand"/>
        <w:rPr>
          <w:rFonts w:cs="Arial"/>
        </w:rPr>
      </w:pPr>
      <w:r w:rsidRPr="00531776">
        <w:t xml:space="preserve">Ist der Verdacht auf eine unerwartete schwerwiegende </w:t>
      </w:r>
      <w:r w:rsidR="001956FC" w:rsidRPr="00531776">
        <w:t>Nebenwirkung</w:t>
      </w:r>
      <w:r w:rsidRPr="00531776">
        <w:t xml:space="preserve"> (SUSAR)</w:t>
      </w:r>
      <w:r w:rsidR="009A2D18" w:rsidRPr="00531776">
        <w:t>, w</w:t>
      </w:r>
      <w:r w:rsidRPr="00531776">
        <w:t>enn die folgenden 3 Bedingungen erfüllt sind:</w:t>
      </w:r>
    </w:p>
    <w:p w14:paraId="793238BE" w14:textId="77777777" w:rsidR="000F3359" w:rsidRPr="009D6719" w:rsidRDefault="000F3359" w:rsidP="000F3359">
      <w:pPr>
        <w:pStyle w:val="Geenafstand"/>
        <w:numPr>
          <w:ilvl w:val="0"/>
          <w:numId w:val="37"/>
        </w:numPr>
        <w:rPr>
          <w:rFonts w:cs="Arial"/>
        </w:rPr>
      </w:pPr>
      <w:r w:rsidRPr="00531776">
        <w:t>Der Vorfall ist schwerwiegend (</w:t>
      </w:r>
      <w:proofErr w:type="spellStart"/>
      <w:r w:rsidRPr="00531776">
        <w:t>serious</w:t>
      </w:r>
      <w:proofErr w:type="spellEnd"/>
      <w:r w:rsidRPr="00531776">
        <w:t>), siehe Definition SAE;</w:t>
      </w:r>
    </w:p>
    <w:p w14:paraId="39C4C615" w14:textId="77777777" w:rsidR="009D6719" w:rsidRPr="00531776" w:rsidRDefault="009D6719" w:rsidP="009D6719">
      <w:pPr>
        <w:pStyle w:val="Geenafstand"/>
        <w:rPr>
          <w:rFonts w:cs="Arial"/>
        </w:rPr>
      </w:pPr>
    </w:p>
    <w:p w14:paraId="793238BF" w14:textId="77777777" w:rsidR="000F3359" w:rsidRPr="00531776" w:rsidRDefault="000F3359" w:rsidP="000F3359">
      <w:pPr>
        <w:pStyle w:val="Geenafstand"/>
        <w:ind w:left="720"/>
        <w:rPr>
          <w:rFonts w:cs="Arial"/>
        </w:rPr>
      </w:pPr>
    </w:p>
    <w:p w14:paraId="793238C0" w14:textId="77777777" w:rsidR="00BF2509" w:rsidRPr="00531776" w:rsidRDefault="000F3359" w:rsidP="000F3359">
      <w:pPr>
        <w:numPr>
          <w:ilvl w:val="0"/>
          <w:numId w:val="37"/>
        </w:numPr>
        <w:tabs>
          <w:tab w:val="left" w:pos="800"/>
        </w:tabs>
        <w:spacing w:after="0" w:line="247" w:lineRule="auto"/>
        <w:ind w:right="840"/>
        <w:rPr>
          <w:rFonts w:cs="Arial"/>
        </w:rPr>
      </w:pPr>
      <w:r w:rsidRPr="00531776">
        <w:t xml:space="preserve">Es besteht eine gewisse Wahrscheinlichkeit, dass es sich bei dem Ereignis um eine Reaktion auf das Heparin oder </w:t>
      </w:r>
      <w:proofErr w:type="spellStart"/>
      <w:r w:rsidRPr="00531776">
        <w:t>Protamin</w:t>
      </w:r>
      <w:proofErr w:type="spellEnd"/>
      <w:r w:rsidRPr="00531776">
        <w:t xml:space="preserve"> handelt, unabhängig von der verabreichten Dosis, d. h. es muss eine Nebenwirkung vorliegen (möglicher Kausalzusammenhang mit dem verabreichten Produkt). </w:t>
      </w:r>
    </w:p>
    <w:p w14:paraId="793238C3" w14:textId="77777777" w:rsidR="00BA7219" w:rsidRPr="00531776" w:rsidRDefault="00BA7219" w:rsidP="00BA7219">
      <w:pPr>
        <w:tabs>
          <w:tab w:val="left" w:pos="800"/>
        </w:tabs>
        <w:spacing w:after="0" w:line="247" w:lineRule="auto"/>
        <w:ind w:right="840"/>
        <w:rPr>
          <w:rFonts w:cs="Arial"/>
        </w:rPr>
      </w:pPr>
    </w:p>
    <w:p w14:paraId="793238C4" w14:textId="77777777" w:rsidR="000F3359" w:rsidRPr="00531776" w:rsidRDefault="000F3359" w:rsidP="00BF2509">
      <w:pPr>
        <w:tabs>
          <w:tab w:val="left" w:pos="800"/>
        </w:tabs>
        <w:spacing w:after="0" w:line="247" w:lineRule="auto"/>
        <w:ind w:left="720" w:right="840"/>
        <w:rPr>
          <w:rFonts w:cs="Arial"/>
        </w:rPr>
      </w:pPr>
      <w:r w:rsidRPr="00531776">
        <w:t>Dies liegt im Ermessen des Prüfarztes vor Ort und des Ausrichters, wobei der Ausrichter das Urteil des Prüfarztes nicht „herunterstufen“ darf;</w:t>
      </w:r>
    </w:p>
    <w:p w14:paraId="793238C5" w14:textId="77777777" w:rsidR="0051745F" w:rsidRPr="00531776" w:rsidRDefault="0051745F" w:rsidP="0040205D">
      <w:pPr>
        <w:rPr>
          <w:rFonts w:cs="Arial"/>
        </w:rPr>
      </w:pPr>
    </w:p>
    <w:p w14:paraId="793238C6" w14:textId="4DDDF481" w:rsidR="000F3359" w:rsidRPr="00531776" w:rsidRDefault="000F3359" w:rsidP="008F46B9">
      <w:pPr>
        <w:pStyle w:val="Lijstalinea"/>
        <w:numPr>
          <w:ilvl w:val="0"/>
          <w:numId w:val="37"/>
        </w:numPr>
        <w:rPr>
          <w:rFonts w:cs="Arial"/>
        </w:rPr>
      </w:pPr>
      <w:r w:rsidRPr="00531776">
        <w:t xml:space="preserve">Die Nebenwirkung muss unerwartet sein, d. h. Art und Schweregrad stimmen </w:t>
      </w:r>
      <w:r w:rsidR="00C6550F">
        <w:t xml:space="preserve">nicht </w:t>
      </w:r>
      <w:r w:rsidRPr="00531776">
        <w:t xml:space="preserve">mit den verfügbaren Informationen über das Produkt, der Zusammenfassung der Produkteigenschaften (SPC-), überein. </w:t>
      </w:r>
      <w:r w:rsidR="00C6550F">
        <w:t>„</w:t>
      </w:r>
      <w:r w:rsidRPr="00531776">
        <w:t>Unerwartet" bedeutet in diesem Fall, dass die Art und der Schweregrad der schwerwiegenden Nebenwirkung nicht mit den Sicherheitsinformationen in der Zusammenfassung der Produkteigenschaften (SPC) übereinstimmen.</w:t>
      </w:r>
    </w:p>
    <w:p w14:paraId="793238C7" w14:textId="77777777" w:rsidR="000F3359" w:rsidRPr="00531776" w:rsidRDefault="000F3359" w:rsidP="000F3359">
      <w:pPr>
        <w:tabs>
          <w:tab w:val="left" w:pos="800"/>
        </w:tabs>
        <w:spacing w:after="0" w:line="0" w:lineRule="atLeast"/>
        <w:ind w:left="720" w:right="440"/>
        <w:rPr>
          <w:sz w:val="20"/>
          <w:szCs w:val="20"/>
        </w:rPr>
      </w:pPr>
    </w:p>
    <w:p w14:paraId="793238C8" w14:textId="77777777" w:rsidR="000F3359" w:rsidRPr="00531776" w:rsidRDefault="000F3359" w:rsidP="000F3359">
      <w:pPr>
        <w:spacing w:line="16" w:lineRule="exact"/>
        <w:rPr>
          <w:sz w:val="20"/>
          <w:szCs w:val="20"/>
        </w:rPr>
      </w:pPr>
    </w:p>
    <w:p w14:paraId="793238C9" w14:textId="77777777" w:rsidR="000E1AD6" w:rsidRPr="00531776" w:rsidRDefault="000E1AD6" w:rsidP="000E1AD6">
      <w:pPr>
        <w:autoSpaceDE w:val="0"/>
        <w:autoSpaceDN w:val="0"/>
        <w:adjustRightInd w:val="0"/>
        <w:spacing w:after="0" w:line="276" w:lineRule="auto"/>
        <w:rPr>
          <w:rFonts w:cs="Arial"/>
          <w:sz w:val="20"/>
          <w:szCs w:val="20"/>
        </w:rPr>
      </w:pPr>
      <w:r w:rsidRPr="00531776">
        <w:rPr>
          <w:b/>
        </w:rPr>
        <w:t xml:space="preserve">Meldefristen von SAE oder SAR durch den </w:t>
      </w:r>
      <w:r w:rsidRPr="00531776">
        <w:rPr>
          <w:b/>
          <w:color w:val="FF0000"/>
        </w:rPr>
        <w:t xml:space="preserve">(Haupt-)Prüfer </w:t>
      </w:r>
      <w:r w:rsidRPr="00531776">
        <w:rPr>
          <w:b/>
        </w:rPr>
        <w:t xml:space="preserve">an den Ausrichter </w:t>
      </w:r>
      <w:r w:rsidRPr="00531776">
        <w:rPr>
          <w:sz w:val="20"/>
        </w:rPr>
        <w:t>(Art. 10 Absatz 1 WMO)</w:t>
      </w:r>
    </w:p>
    <w:p w14:paraId="793238CA" w14:textId="77777777" w:rsidR="00BF2509" w:rsidRPr="00531776" w:rsidRDefault="00DE5503" w:rsidP="001337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 xml:space="preserve">Alle SAE und SAR müssen von den </w:t>
      </w:r>
      <w:r w:rsidRPr="00531776">
        <w:rPr>
          <w:b/>
          <w:bCs/>
        </w:rPr>
        <w:t>Hauptprüfern vor Ort</w:t>
      </w:r>
      <w:r w:rsidRPr="00531776">
        <w:t xml:space="preserve"> </w:t>
      </w:r>
      <w:r w:rsidRPr="00531776">
        <w:rPr>
          <w:color w:val="0000FF"/>
        </w:rPr>
        <w:t xml:space="preserve">innerhalb von 24 Stunden nach Bekanntwerden des Ereignisses über das SAE-Meldeformular per E-Mail </w:t>
      </w:r>
      <w:r w:rsidRPr="00531776">
        <w:t xml:space="preserve">an den Ausrichter gemeldet werden </w:t>
      </w:r>
    </w:p>
    <w:p w14:paraId="793238CB" w14:textId="77777777" w:rsidR="00F964C0" w:rsidRPr="00531776" w:rsidRDefault="00F964C0" w:rsidP="001337A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3238CC" w14:textId="3A3C343D" w:rsidR="00BF2509" w:rsidRPr="00531776" w:rsidRDefault="00614780" w:rsidP="00BF2509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hyperlink r:id="rId7" w:history="1">
        <w:r w:rsidR="00602ADC" w:rsidRPr="00531776">
          <w:rPr>
            <w:rStyle w:val="Hyperlink"/>
            <w:color w:val="FF0000"/>
          </w:rPr>
          <w:t>arno@wiersema.nu</w:t>
        </w:r>
      </w:hyperlink>
      <w:r w:rsidR="00602ADC" w:rsidRPr="00531776">
        <w:rPr>
          <w:color w:val="FF0000"/>
        </w:rPr>
        <w:t xml:space="preserve">                    </w:t>
      </w:r>
      <w:r w:rsidR="00602ADC" w:rsidRPr="00531776">
        <w:t xml:space="preserve">mit </w:t>
      </w:r>
      <w:r w:rsidR="008B6BF3">
        <w:t>CC</w:t>
      </w:r>
      <w:r w:rsidR="00C6550F">
        <w:t xml:space="preserve"> an</w:t>
      </w:r>
    </w:p>
    <w:p w14:paraId="793238CD" w14:textId="77777777" w:rsidR="00F964C0" w:rsidRPr="00531776" w:rsidRDefault="00F964C0" w:rsidP="00F964C0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</w:p>
    <w:p w14:paraId="793238CE" w14:textId="6375C88D" w:rsidR="00F964C0" w:rsidRPr="00531776" w:rsidRDefault="00614780" w:rsidP="00BF2509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hyperlink r:id="rId8" w:history="1">
        <w:r w:rsidR="009D6719" w:rsidRPr="009D6719">
          <w:rPr>
            <w:rStyle w:val="Hyperlink"/>
          </w:rPr>
          <w:t>l.c.roosendaal@dijklandernl</w:t>
        </w:r>
      </w:hyperlink>
      <w:r w:rsidR="00602ADC" w:rsidRPr="00531776">
        <w:rPr>
          <w:color w:val="FF0000"/>
        </w:rPr>
        <w:t xml:space="preserve"> </w:t>
      </w:r>
      <w:r w:rsidR="00602ADC" w:rsidRPr="00531776">
        <w:t xml:space="preserve">und </w:t>
      </w:r>
      <w:hyperlink r:id="rId9" w:history="1">
        <w:r w:rsidR="009D6719" w:rsidRPr="009D6719">
          <w:rPr>
            <w:rStyle w:val="Hyperlink"/>
          </w:rPr>
          <w:t>s.vanrossum@dijklandernl</w:t>
        </w:r>
      </w:hyperlink>
    </w:p>
    <w:p w14:paraId="793238CF" w14:textId="77777777" w:rsidR="00F964C0" w:rsidRPr="00531776" w:rsidRDefault="00F964C0" w:rsidP="00F964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3238D0" w14:textId="77777777" w:rsidR="00BF2509" w:rsidRPr="00531776" w:rsidRDefault="006A10B4" w:rsidP="00F964C0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r w:rsidRPr="00531776">
        <w:t xml:space="preserve"> </w:t>
      </w:r>
    </w:p>
    <w:p w14:paraId="793238D1" w14:textId="6F2904D6" w:rsidR="00E863EA" w:rsidRPr="00531776" w:rsidRDefault="006A10B4" w:rsidP="00BF2509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r w:rsidRPr="00531776">
        <w:rPr>
          <w:color w:val="0000FF"/>
        </w:rPr>
        <w:t xml:space="preserve">einschließlich der Angabe, ob das SAE mit der Intervention zusammenhängt. Geben Sie bei jeder SAR an, ob es sich um eine unerwünschte </w:t>
      </w:r>
      <w:r w:rsidR="002437E1" w:rsidRPr="00531776">
        <w:rPr>
          <w:color w:val="0000FF"/>
        </w:rPr>
        <w:t>Nebenwirkung</w:t>
      </w:r>
      <w:r w:rsidRPr="00531776">
        <w:rPr>
          <w:color w:val="0000FF"/>
        </w:rPr>
        <w:t xml:space="preserve"> auf das verabreichte Heparin oder </w:t>
      </w:r>
      <w:proofErr w:type="spellStart"/>
      <w:r w:rsidRPr="00531776">
        <w:rPr>
          <w:color w:val="0000FF"/>
        </w:rPr>
        <w:t>Protamin</w:t>
      </w:r>
      <w:proofErr w:type="spellEnd"/>
      <w:r w:rsidRPr="00531776">
        <w:rPr>
          <w:color w:val="0000FF"/>
        </w:rPr>
        <w:t xml:space="preserve"> handelt.</w:t>
      </w:r>
    </w:p>
    <w:p w14:paraId="793238D2" w14:textId="77777777" w:rsidR="00CB313A" w:rsidRPr="00531776" w:rsidRDefault="00CB313A" w:rsidP="001337AC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</w:p>
    <w:p w14:paraId="793238D3" w14:textId="77777777" w:rsidR="00CB313A" w:rsidRPr="00531776" w:rsidRDefault="00CB313A" w:rsidP="001337AC">
      <w:pPr>
        <w:autoSpaceDE w:val="0"/>
        <w:autoSpaceDN w:val="0"/>
        <w:adjustRightInd w:val="0"/>
        <w:spacing w:after="0" w:line="240" w:lineRule="auto"/>
      </w:pPr>
      <w:r w:rsidRPr="00531776">
        <w:t xml:space="preserve">Der DLZ-Prüfarzt beurteilt anhand der SPC, ob es sich um eine unerwartete SAR, d. h. um eine SUSAR handelt. </w:t>
      </w:r>
    </w:p>
    <w:p w14:paraId="793238D4" w14:textId="77777777" w:rsidR="00DE5503" w:rsidRPr="00531776" w:rsidRDefault="00DE5503" w:rsidP="000E1AD6">
      <w:pPr>
        <w:pStyle w:val="Geenafstand"/>
      </w:pPr>
    </w:p>
    <w:p w14:paraId="793238D5" w14:textId="77777777" w:rsidR="00C37C9B" w:rsidRPr="00531776" w:rsidRDefault="00C37C9B" w:rsidP="00790252">
      <w:pPr>
        <w:pStyle w:val="Geenafstand"/>
        <w:rPr>
          <w:rFonts w:cs="Arial"/>
          <w:b/>
        </w:rPr>
      </w:pPr>
      <w:r w:rsidRPr="00531776">
        <w:rPr>
          <w:b/>
        </w:rPr>
        <w:t xml:space="preserve">Meldung von SAE/SUSAR durch den </w:t>
      </w:r>
      <w:r w:rsidRPr="00531776">
        <w:rPr>
          <w:b/>
          <w:color w:val="FF0000"/>
        </w:rPr>
        <w:t>Ausrichter</w:t>
      </w:r>
    </w:p>
    <w:p w14:paraId="793238D6" w14:textId="77777777" w:rsidR="00071265" w:rsidRPr="00531776" w:rsidRDefault="00071265" w:rsidP="00790252">
      <w:pPr>
        <w:pStyle w:val="Geenafstand"/>
      </w:pPr>
      <w:r w:rsidRPr="00531776">
        <w:t xml:space="preserve">Alle </w:t>
      </w:r>
      <w:r w:rsidRPr="00531776">
        <w:rPr>
          <w:b/>
          <w:color w:val="0000FF"/>
        </w:rPr>
        <w:t>SAE</w:t>
      </w:r>
      <w:r w:rsidRPr="00531776">
        <w:t xml:space="preserve"> werden vom Ausrichter </w:t>
      </w:r>
      <w:r w:rsidRPr="00531776">
        <w:rPr>
          <w:b/>
        </w:rPr>
        <w:t>alle 6 Monate</w:t>
      </w:r>
      <w:r w:rsidRPr="00531776">
        <w:t xml:space="preserve"> über Übersichtslisten in „ToetsingOnline“ an das METC und die zuständige Behörde (CCMO) gemeldet.</w:t>
      </w:r>
    </w:p>
    <w:p w14:paraId="793238D7" w14:textId="77777777" w:rsidR="00071265" w:rsidRPr="00531776" w:rsidRDefault="00071265" w:rsidP="00790252">
      <w:pPr>
        <w:pStyle w:val="Geenafstand"/>
      </w:pPr>
    </w:p>
    <w:p w14:paraId="793238D8" w14:textId="77777777" w:rsidR="00C37C9B" w:rsidRPr="00531776" w:rsidRDefault="00C37C9B" w:rsidP="00C37C9B">
      <w:pPr>
        <w:pStyle w:val="Geenafstand"/>
      </w:pPr>
      <w:r w:rsidRPr="00531776">
        <w:t>Alle</w:t>
      </w:r>
      <w:r w:rsidRPr="00531776">
        <w:rPr>
          <w:b/>
        </w:rPr>
        <w:t xml:space="preserve"> </w:t>
      </w:r>
      <w:r w:rsidRPr="00531776">
        <w:rPr>
          <w:b/>
          <w:color w:val="0000FF"/>
        </w:rPr>
        <w:t>SUSAR</w:t>
      </w:r>
      <w:r w:rsidRPr="00531776">
        <w:t xml:space="preserve"> werden vom Prüfarzt sofort nach Kenntnisnahme </w:t>
      </w:r>
      <w:proofErr w:type="spellStart"/>
      <w:r w:rsidRPr="00531776">
        <w:t>verblindet</w:t>
      </w:r>
      <w:proofErr w:type="spellEnd"/>
      <w:r w:rsidRPr="00531776">
        <w:t xml:space="preserve"> über </w:t>
      </w:r>
      <w:proofErr w:type="spellStart"/>
      <w:r w:rsidRPr="00531776">
        <w:t>ToetsingOnline</w:t>
      </w:r>
      <w:proofErr w:type="spellEnd"/>
      <w:r w:rsidRPr="00531776">
        <w:t xml:space="preserve"> an das METC und die zuständige Behörde (CCMO) gemeldet. Fristen:</w:t>
      </w:r>
    </w:p>
    <w:p w14:paraId="793238D9" w14:textId="77777777" w:rsidR="00BA7219" w:rsidRPr="00531776" w:rsidRDefault="00BA7219" w:rsidP="00BA7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3238DA" w14:textId="068979AB" w:rsidR="00BA7219" w:rsidRPr="00531776" w:rsidRDefault="00BA7219" w:rsidP="00BA7219">
      <w:pPr>
        <w:pStyle w:val="Geenafstand"/>
        <w:rPr>
          <w:rFonts w:cs="Arial"/>
        </w:rPr>
      </w:pPr>
      <w:r w:rsidRPr="00531776">
        <w:rPr>
          <w:b/>
        </w:rPr>
        <w:t>Tödliche</w:t>
      </w:r>
      <w:r w:rsidR="00F2325F">
        <w:rPr>
          <w:b/>
        </w:rPr>
        <w:t>r</w:t>
      </w:r>
      <w:r w:rsidRPr="00531776">
        <w:rPr>
          <w:b/>
        </w:rPr>
        <w:t xml:space="preserve"> oder lebensbedrohliche</w:t>
      </w:r>
      <w:r w:rsidR="00F2325F">
        <w:rPr>
          <w:b/>
        </w:rPr>
        <w:t>r</w:t>
      </w:r>
      <w:r w:rsidRPr="00531776">
        <w:rPr>
          <w:b/>
        </w:rPr>
        <w:t xml:space="preserve"> SUSAR;</w:t>
      </w:r>
      <w:r w:rsidRPr="00531776">
        <w:t xml:space="preserve"> </w:t>
      </w:r>
    </w:p>
    <w:p w14:paraId="793238DB" w14:textId="77777777" w:rsidR="00BA7219" w:rsidRPr="00531776" w:rsidRDefault="00BA7219" w:rsidP="00BA7219">
      <w:pPr>
        <w:pStyle w:val="Geenafstand"/>
        <w:rPr>
          <w:rFonts w:cs="Arial"/>
        </w:rPr>
      </w:pPr>
      <w:r w:rsidRPr="00531776">
        <w:rPr>
          <w:rFonts w:ascii="Arial" w:hAnsi="Arial"/>
        </w:rPr>
        <w:t>►</w:t>
      </w:r>
      <w:r w:rsidRPr="00531776">
        <w:t xml:space="preserve"> Erste Meldung </w:t>
      </w:r>
      <w:r w:rsidRPr="00531776">
        <w:rPr>
          <w:b/>
        </w:rPr>
        <w:t xml:space="preserve">&lt; 7 Tage </w:t>
      </w:r>
      <w:r w:rsidRPr="00531776">
        <w:t xml:space="preserve">nach Kenntnisnahme durch den Ausrichter </w:t>
      </w:r>
    </w:p>
    <w:p w14:paraId="793238DC" w14:textId="77777777" w:rsidR="00BA7219" w:rsidRPr="00531776" w:rsidRDefault="00BA7219" w:rsidP="00BA7219">
      <w:pPr>
        <w:pStyle w:val="Geenafstand"/>
        <w:rPr>
          <w:rFonts w:cs="Arial"/>
        </w:rPr>
      </w:pPr>
      <w:r w:rsidRPr="00531776">
        <w:rPr>
          <w:rFonts w:ascii="Arial" w:hAnsi="Arial"/>
        </w:rPr>
        <w:lastRenderedPageBreak/>
        <w:t>►</w:t>
      </w:r>
      <w:r w:rsidRPr="00531776">
        <w:t xml:space="preserve"> Meldung mit vollständiger Information </w:t>
      </w:r>
      <w:r w:rsidRPr="00531776">
        <w:rPr>
          <w:b/>
        </w:rPr>
        <w:t xml:space="preserve">&lt; 15 Tage </w:t>
      </w:r>
      <w:r w:rsidRPr="00531776">
        <w:t xml:space="preserve">nach Kenntnisnahme durch den Ausrichter </w:t>
      </w:r>
    </w:p>
    <w:p w14:paraId="793238DD" w14:textId="77777777" w:rsidR="00BA7219" w:rsidRPr="00531776" w:rsidRDefault="00BA7219" w:rsidP="00BA7219">
      <w:pPr>
        <w:pStyle w:val="Geenafstand"/>
        <w:rPr>
          <w:rFonts w:cs="Arial"/>
        </w:rPr>
      </w:pPr>
    </w:p>
    <w:p w14:paraId="793238DE" w14:textId="77777777" w:rsidR="00BA7219" w:rsidRPr="00531776" w:rsidRDefault="00BA7219" w:rsidP="00BA7219">
      <w:pPr>
        <w:pStyle w:val="Geenafstand"/>
        <w:rPr>
          <w:rFonts w:cs="Arial"/>
        </w:rPr>
      </w:pPr>
      <w:r w:rsidRPr="00531776">
        <w:rPr>
          <w:b/>
        </w:rPr>
        <w:t>Nicht tödlicher oder nicht lebensbedrohlicher SUSAR</w:t>
      </w:r>
      <w:r w:rsidRPr="00531776">
        <w:t xml:space="preserve">; </w:t>
      </w:r>
    </w:p>
    <w:p w14:paraId="793238DF" w14:textId="77777777" w:rsidR="00BA7219" w:rsidRPr="00531776" w:rsidRDefault="00BA7219" w:rsidP="00BA7219">
      <w:pPr>
        <w:pStyle w:val="Geenafstand"/>
      </w:pPr>
      <w:r w:rsidRPr="00531776">
        <w:rPr>
          <w:rFonts w:ascii="Arial" w:hAnsi="Arial"/>
        </w:rPr>
        <w:t>►</w:t>
      </w:r>
      <w:r w:rsidRPr="00531776">
        <w:t xml:space="preserve"> Meldung mit vollständiger Information </w:t>
      </w:r>
      <w:r w:rsidRPr="00531776">
        <w:rPr>
          <w:b/>
        </w:rPr>
        <w:t xml:space="preserve">&lt; 15 Tage </w:t>
      </w:r>
      <w:r w:rsidRPr="00531776">
        <w:t>nach Kenntnisnahme durch den Ausrichter</w:t>
      </w:r>
    </w:p>
    <w:p w14:paraId="793238E0" w14:textId="77777777" w:rsidR="00C37C9B" w:rsidRPr="00531776" w:rsidRDefault="00C37C9B" w:rsidP="00790252">
      <w:pPr>
        <w:pStyle w:val="Geenafstand"/>
      </w:pPr>
    </w:p>
    <w:p w14:paraId="793238E1" w14:textId="77777777" w:rsidR="00D258A9" w:rsidRPr="00531776" w:rsidRDefault="006A7207" w:rsidP="00D258A9">
      <w:pPr>
        <w:rPr>
          <w:rFonts w:cs="Arial"/>
        </w:rPr>
      </w:pPr>
      <w:r w:rsidRPr="00531776">
        <w:t xml:space="preserve">Der Studienausrichter (DLZ) wird alle beteiligten Prüfärzte über alle Befunde informieren, welche die Sicherheit der Probanden oder die Durchführung der Studie beeinträchtigen könnten. </w:t>
      </w:r>
    </w:p>
    <w:p w14:paraId="793238E2" w14:textId="77777777" w:rsidR="00602ADC" w:rsidRPr="00531776" w:rsidRDefault="00602ADC">
      <w:pPr>
        <w:rPr>
          <w:rFonts w:cs="Arial"/>
          <w:b/>
        </w:rPr>
      </w:pPr>
      <w:r w:rsidRPr="00531776">
        <w:br w:type="page"/>
      </w:r>
    </w:p>
    <w:p w14:paraId="793238E3" w14:textId="77777777" w:rsidR="00602ADC" w:rsidRPr="00531776" w:rsidRDefault="00602ADC" w:rsidP="00D258A9">
      <w:pPr>
        <w:rPr>
          <w:rFonts w:cs="Arial"/>
          <w:b/>
        </w:rPr>
      </w:pPr>
    </w:p>
    <w:p w14:paraId="793238E4" w14:textId="77777777" w:rsidR="00594239" w:rsidRPr="00531776" w:rsidRDefault="007F36AC" w:rsidP="00D258A9">
      <w:pPr>
        <w:rPr>
          <w:rFonts w:cs="Arial"/>
          <w:b/>
        </w:rPr>
      </w:pPr>
      <w:r w:rsidRPr="00531776">
        <w:rPr>
          <w:b/>
        </w:rPr>
        <w:t>Verpflichtungen</w:t>
      </w:r>
    </w:p>
    <w:p w14:paraId="793238E5" w14:textId="77777777" w:rsidR="007F36AC" w:rsidRPr="00531776" w:rsidRDefault="00D81D2E" w:rsidP="007F36AC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531776">
        <w:rPr>
          <w:rFonts w:asciiTheme="minorHAnsi" w:hAnsiTheme="minorHAnsi"/>
          <w:b/>
          <w:color w:val="auto"/>
          <w:sz w:val="22"/>
        </w:rPr>
        <w:t xml:space="preserve">Jährliche Sicherheitsberichterstattung durch den Ausrichter an das METC und die zuständige Behörde </w:t>
      </w:r>
    </w:p>
    <w:p w14:paraId="793238E6" w14:textId="1D84A76C" w:rsidR="00D97E51" w:rsidRPr="00531776" w:rsidRDefault="007F36AC" w:rsidP="00D97E51">
      <w:pPr>
        <w:pStyle w:val="Default"/>
        <w:rPr>
          <w:rFonts w:ascii="Arial" w:hAnsi="Arial" w:cs="Arial"/>
        </w:rPr>
      </w:pPr>
      <w:r w:rsidRPr="00531776">
        <w:rPr>
          <w:rFonts w:asciiTheme="minorHAnsi" w:hAnsiTheme="minorHAnsi"/>
          <w:sz w:val="20"/>
        </w:rPr>
        <w:t xml:space="preserve">(Art. 13q WMO und Art. 5 und 5, Vorschriften über medizinische </w:t>
      </w:r>
      <w:r w:rsidR="002437E1" w:rsidRPr="00531776">
        <w:rPr>
          <w:rFonts w:asciiTheme="minorHAnsi" w:hAnsiTheme="minorHAnsi"/>
          <w:sz w:val="20"/>
        </w:rPr>
        <w:t>Forschung</w:t>
      </w:r>
      <w:r w:rsidR="002437E1" w:rsidRPr="00531776">
        <w:rPr>
          <w:sz w:val="20"/>
        </w:rPr>
        <w:t xml:space="preserve"> am</w:t>
      </w:r>
      <w:r w:rsidRPr="00531776">
        <w:rPr>
          <w:sz w:val="20"/>
        </w:rPr>
        <w:t xml:space="preserve"> Menschen); </w:t>
      </w:r>
    </w:p>
    <w:p w14:paraId="793238E7" w14:textId="77777777" w:rsidR="00D97E51" w:rsidRPr="00531776" w:rsidRDefault="00D97E51" w:rsidP="00D97E5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531776">
        <w:rPr>
          <w:color w:val="000000"/>
          <w:sz w:val="20"/>
        </w:rPr>
        <w:t xml:space="preserve">Richtlinie ICH, Thema E2F-Development Safety Update Report (DSUR). </w:t>
      </w:r>
    </w:p>
    <w:p w14:paraId="793238E8" w14:textId="77777777" w:rsidR="007F36AC" w:rsidRPr="00531776" w:rsidRDefault="007F36AC" w:rsidP="007F36A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93238E9" w14:textId="77777777" w:rsidR="00D81D2E" w:rsidRPr="00531776" w:rsidRDefault="00D81D2E" w:rsidP="00D258A9">
      <w:pPr>
        <w:rPr>
          <w:rFonts w:cs="Arial"/>
        </w:rPr>
      </w:pPr>
      <w:r w:rsidRPr="00531776">
        <w:t xml:space="preserve">Der Ausrichter, Arno Wiersema, muss einmal pro Jahr und nach dem letzten Besuch des letzten Probanden einen Sicherheitsbericht (SAE/(SU)SAR) über ToetsingOnline an das METC und die zuständige Behörde senden. Zu diesem Zweck kann der „Development Safety Update Report“ verwendet werden. </w:t>
      </w:r>
    </w:p>
    <w:p w14:paraId="793238EA" w14:textId="77777777" w:rsidR="0040205D" w:rsidRPr="00531776" w:rsidRDefault="007F36AC" w:rsidP="0040205D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11" w:line="240" w:lineRule="auto"/>
        <w:rPr>
          <w:rFonts w:cs="Arial"/>
        </w:rPr>
      </w:pPr>
      <w:r w:rsidRPr="00531776">
        <w:t xml:space="preserve">Eine Liste aller vermuteten (unerwarteten = SUSAR und erwarteten = SAR) schwerwiegenden Nebenwirkungen und SAE zusammen mit einer aggregierten Übersichtstabelle aller gemeldeten schwerwiegenden Nebenwirkungen geordnet nach Organsystem je Studie; </w:t>
      </w:r>
    </w:p>
    <w:p w14:paraId="793238EB" w14:textId="77777777" w:rsidR="007F36AC" w:rsidRPr="00531776" w:rsidRDefault="007F36AC" w:rsidP="007F36AC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 xml:space="preserve">Ein Bericht zur Probandensicherheit, der aus einer vollständigen Sicherheitsanalyse und einer Bewertung des Verhältnisses zwischen der Wirksamkeit und der Schädlichkeit des Prüfpräparats besteht. </w:t>
      </w:r>
    </w:p>
    <w:p w14:paraId="793238EC" w14:textId="77777777" w:rsidR="00594239" w:rsidRPr="00531776" w:rsidRDefault="007F36AC" w:rsidP="00C76469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</w:rPr>
      </w:pPr>
      <w:r w:rsidRPr="00531776">
        <w:t xml:space="preserve">Sicherheitsberichte müssen bis zum Ende der Studie zur Verfügung gestellt werden, in der Regel bis zum letzten Besuch des letzten Probanden, sofern im Prüfplan in den Niederlanden nicht anders festgelegt. </w:t>
      </w:r>
    </w:p>
    <w:p w14:paraId="793238ED" w14:textId="77777777" w:rsidR="007F36AC" w:rsidRPr="00531776" w:rsidRDefault="007F36AC" w:rsidP="007F36AC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3238EE" w14:textId="77777777" w:rsidR="007F36AC" w:rsidRPr="00531776" w:rsidRDefault="007F36AC" w:rsidP="007F36AC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</w:rPr>
      </w:pPr>
    </w:p>
    <w:p w14:paraId="793238EF" w14:textId="77777777" w:rsidR="00594239" w:rsidRPr="00531776" w:rsidRDefault="00594239" w:rsidP="00D258A9">
      <w:pPr>
        <w:rPr>
          <w:rFonts w:cs="Arial"/>
          <w:b/>
        </w:rPr>
      </w:pPr>
      <w:r w:rsidRPr="00531776">
        <w:rPr>
          <w:b/>
        </w:rPr>
        <w:t>Überwachungsgremium für Datensicherheit (DSMB)</w:t>
      </w:r>
    </w:p>
    <w:p w14:paraId="793238F0" w14:textId="77777777" w:rsidR="00594239" w:rsidRPr="00531776" w:rsidRDefault="00594239" w:rsidP="00D258A9">
      <w:pPr>
        <w:rPr>
          <w:rFonts w:cs="Arial"/>
        </w:rPr>
      </w:pPr>
      <w:r w:rsidRPr="00531776">
        <w:t>Das DSMB führt Sicherheitsanalysen nach Einschluss von 100, 200, 500 Probanden und 6 Wochen nach Einschluss des letzten Probanden auf der Grundlage der im eCRF registrierten SAE/SAR/SUSAR gemäß den in der DSMB-Charta beschriebenen Verfahren durch.</w:t>
      </w:r>
    </w:p>
    <w:p w14:paraId="793238F1" w14:textId="77777777" w:rsidR="007F36AC" w:rsidRPr="00531776" w:rsidRDefault="007F36AC" w:rsidP="007F36AC">
      <w:pPr>
        <w:autoSpaceDE w:val="0"/>
        <w:autoSpaceDN w:val="0"/>
        <w:adjustRightInd w:val="0"/>
        <w:spacing w:after="7" w:line="240" w:lineRule="auto"/>
        <w:rPr>
          <w:rFonts w:cs="Arial"/>
          <w:b/>
        </w:rPr>
      </w:pPr>
    </w:p>
    <w:p w14:paraId="793238F2" w14:textId="77777777" w:rsidR="007F36AC" w:rsidRPr="00531776" w:rsidRDefault="007F36AC" w:rsidP="007F36AC">
      <w:pPr>
        <w:autoSpaceDE w:val="0"/>
        <w:autoSpaceDN w:val="0"/>
        <w:adjustRightInd w:val="0"/>
        <w:spacing w:after="7" w:line="240" w:lineRule="auto"/>
        <w:rPr>
          <w:rFonts w:cs="Arial"/>
          <w:b/>
        </w:rPr>
      </w:pPr>
      <w:r w:rsidRPr="00531776">
        <w:rPr>
          <w:b/>
        </w:rPr>
        <w:t xml:space="preserve">Sonstige Verpflichtungen/relevante Informationen allgemein </w:t>
      </w:r>
    </w:p>
    <w:p w14:paraId="793238F3" w14:textId="77777777" w:rsidR="007F36AC" w:rsidRPr="00531776" w:rsidRDefault="007F36AC" w:rsidP="007F36AC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7" w:line="240" w:lineRule="auto"/>
        <w:rPr>
          <w:rFonts w:cs="Arial"/>
        </w:rPr>
      </w:pPr>
      <w:r w:rsidRPr="00531776">
        <w:t xml:space="preserve">Ein Ausrichter darf die kausale Beurteilung (Kausalität) des Prüfarztes nicht herunterstufen. </w:t>
      </w:r>
    </w:p>
    <w:p w14:paraId="793238F6" w14:textId="099655E4" w:rsidR="007F36AC" w:rsidRPr="00531776" w:rsidRDefault="007F36AC" w:rsidP="00F2325F">
      <w:pPr>
        <w:autoSpaceDE w:val="0"/>
        <w:autoSpaceDN w:val="0"/>
        <w:adjustRightInd w:val="0"/>
        <w:spacing w:after="0" w:line="240" w:lineRule="auto"/>
        <w:ind w:left="405"/>
        <w:rPr>
          <w:rFonts w:cs="Arial"/>
        </w:rPr>
      </w:pPr>
      <w:r w:rsidRPr="00531776">
        <w:t xml:space="preserve">•     Stoppen der Studie durch den Ausrichter, wenn sie zu inakzeptablen Risiken für den Probanden </w:t>
      </w:r>
      <w:r w:rsidR="00F2325F">
        <w:br/>
        <w:t xml:space="preserve">       </w:t>
      </w:r>
      <w:r w:rsidRPr="00531776">
        <w:t xml:space="preserve">führt. Benachrichtigung des Probanden durch denjenigen, der die Studie ausführt. </w:t>
      </w:r>
    </w:p>
    <w:p w14:paraId="793238F7" w14:textId="77777777" w:rsidR="007F36AC" w:rsidRPr="00531776" w:rsidRDefault="007F36AC" w:rsidP="00D258A9">
      <w:pPr>
        <w:rPr>
          <w:rFonts w:cs="Arial"/>
          <w:b/>
          <w:color w:val="0000FF"/>
        </w:rPr>
      </w:pPr>
    </w:p>
    <w:p w14:paraId="793238F8" w14:textId="77777777" w:rsidR="00FC583E" w:rsidRPr="00531776" w:rsidRDefault="00071265" w:rsidP="00D258A9">
      <w:pPr>
        <w:rPr>
          <w:rFonts w:cs="Arial"/>
          <w:b/>
          <w:color w:val="0000FF"/>
        </w:rPr>
      </w:pPr>
      <w:r w:rsidRPr="00531776">
        <w:rPr>
          <w:b/>
          <w:color w:val="0000FF"/>
        </w:rPr>
        <w:t>Aufgaben und Verantwortlichkeiten</w:t>
      </w:r>
    </w:p>
    <w:p w14:paraId="793238F9" w14:textId="77777777" w:rsidR="00AA3CBD" w:rsidRPr="00531776" w:rsidRDefault="0001140B" w:rsidP="00AA3CBD">
      <w:pPr>
        <w:pStyle w:val="Lijstalinea"/>
        <w:numPr>
          <w:ilvl w:val="0"/>
          <w:numId w:val="25"/>
        </w:numPr>
        <w:rPr>
          <w:rFonts w:cs="Arial"/>
        </w:rPr>
      </w:pPr>
      <w:r w:rsidRPr="00531776">
        <w:rPr>
          <w:b/>
        </w:rPr>
        <w:t>Der</w:t>
      </w:r>
      <w:r w:rsidRPr="00531776">
        <w:rPr>
          <w:b/>
          <w:color w:val="FF0000"/>
        </w:rPr>
        <w:t xml:space="preserve"> Ausrichter </w:t>
      </w:r>
      <w:r w:rsidRPr="00531776">
        <w:rPr>
          <w:b/>
          <w:bCs/>
        </w:rPr>
        <w:t>ist letztendlich verantwortlich für:</w:t>
      </w:r>
    </w:p>
    <w:p w14:paraId="793238FA" w14:textId="77777777" w:rsidR="00AA3CBD" w:rsidRPr="00531776" w:rsidRDefault="00AA3CBD" w:rsidP="00AA3CBD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Das Bereitstellen eines Standardberichts zur Meldung von SAE.</w:t>
      </w:r>
    </w:p>
    <w:p w14:paraId="793238FB" w14:textId="77777777" w:rsidR="00097BB2" w:rsidRPr="00531776" w:rsidRDefault="00143095" w:rsidP="00097BB2">
      <w:pPr>
        <w:pStyle w:val="Lijstalinea"/>
        <w:numPr>
          <w:ilvl w:val="0"/>
          <w:numId w:val="34"/>
        </w:numPr>
        <w:rPr>
          <w:rFonts w:cs="Arial"/>
        </w:rPr>
      </w:pPr>
      <w:r w:rsidRPr="00531776">
        <w:t>Die Schulung der teilnehmenden Standorte über das Meldeverfahren für SAE und SUSAR.</w:t>
      </w:r>
    </w:p>
    <w:p w14:paraId="793238FC" w14:textId="77777777" w:rsidR="00AA3CBD" w:rsidRPr="00531776" w:rsidRDefault="00766B83" w:rsidP="008C25A8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Für das SAE-Line-Listing alle 6 Monate über ToetsingOnline an das METC und die zuständige Behörde.</w:t>
      </w:r>
    </w:p>
    <w:p w14:paraId="793238FD" w14:textId="77777777" w:rsidR="00766B83" w:rsidRPr="00531776" w:rsidRDefault="00766B83" w:rsidP="008C25A8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Meldung von SUSAR über ToetsingOnline an das METC, die zuständige Behörde und CGB.</w:t>
      </w:r>
    </w:p>
    <w:p w14:paraId="793238FE" w14:textId="77777777" w:rsidR="00766B83" w:rsidRPr="00531776" w:rsidRDefault="001337AC" w:rsidP="008C25A8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Meldung von SAE/SAR/SUSAR an die teilnehmenden Zentren und den Vorstand, einschließlich der Frage, ob sie Auswirkungen auf die Sicherheit der Probanden und den Studienverlauf haben (Sicherheitsbericht).</w:t>
      </w:r>
    </w:p>
    <w:p w14:paraId="793238FF" w14:textId="77777777" w:rsidR="001337AC" w:rsidRPr="00531776" w:rsidRDefault="001337AC" w:rsidP="008C25A8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Jährliche Sicherheitsberichterstattung an das METC und die zuständige Behörde über alle SAE, SAR und SUSAR.</w:t>
      </w:r>
    </w:p>
    <w:p w14:paraId="79323900" w14:textId="77777777" w:rsidR="00200FD2" w:rsidRPr="009D6719" w:rsidRDefault="00200FD2" w:rsidP="00200FD2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Archivierung aller eingegangenen E-Mails, inkl. zugehöriger Dokumente zu den SAE/SAR und SUSAR in der Trial Master File (TMF).</w:t>
      </w:r>
    </w:p>
    <w:p w14:paraId="0F27C72E" w14:textId="77777777" w:rsidR="009D6719" w:rsidRPr="009D6719" w:rsidRDefault="009D6719" w:rsidP="009D67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323901" w14:textId="77777777" w:rsidR="00AA3CBD" w:rsidRPr="00531776" w:rsidRDefault="00AA3CBD" w:rsidP="00AA3CBD">
      <w:pPr>
        <w:rPr>
          <w:rFonts w:cs="Arial"/>
        </w:rPr>
      </w:pPr>
    </w:p>
    <w:p w14:paraId="79323902" w14:textId="77777777" w:rsidR="00602ADC" w:rsidRPr="00531776" w:rsidRDefault="00602ADC" w:rsidP="00602ADC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79323903" w14:textId="77777777" w:rsidR="00602ADC" w:rsidRPr="00531776" w:rsidRDefault="00602ADC" w:rsidP="00602ADC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79323904" w14:textId="05179FC6" w:rsidR="00097BB2" w:rsidRPr="00531776" w:rsidRDefault="00097BB2" w:rsidP="00097BB2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31776">
        <w:rPr>
          <w:b/>
        </w:rPr>
        <w:lastRenderedPageBreak/>
        <w:t xml:space="preserve">Der </w:t>
      </w:r>
      <w:r w:rsidRPr="00531776">
        <w:rPr>
          <w:b/>
          <w:color w:val="FF0000"/>
        </w:rPr>
        <w:t>Haup</w:t>
      </w:r>
      <w:r w:rsidR="002437E1">
        <w:rPr>
          <w:b/>
          <w:color w:val="FF0000"/>
        </w:rPr>
        <w:t>t</w:t>
      </w:r>
      <w:r w:rsidRPr="00531776">
        <w:rPr>
          <w:b/>
          <w:color w:val="FF0000"/>
        </w:rPr>
        <w:t xml:space="preserve">prüfer vor Ort </w:t>
      </w:r>
      <w:r w:rsidRPr="00531776">
        <w:rPr>
          <w:b/>
        </w:rPr>
        <w:t>ist letztendlich verantwortlich für:</w:t>
      </w:r>
    </w:p>
    <w:p w14:paraId="79323905" w14:textId="258BDB76" w:rsidR="00097BB2" w:rsidRPr="00531776" w:rsidRDefault="00097BB2" w:rsidP="0042471D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 xml:space="preserve">Das unverzügliche (innerhalb von 24 Stunden nach Auftreten oder Entdeckung des SAR) Melden aller schwerwiegenden Nebenwirkungen (SAR), unter Verwendung des SAR-Meldeformulars PER E-MAIL an </w:t>
      </w:r>
      <w:r w:rsidRPr="00531776">
        <w:rPr>
          <w:rStyle w:val="Hyperlink"/>
        </w:rPr>
        <w:t>arno@wiersema.nu</w:t>
      </w:r>
      <w:r w:rsidRPr="00531776">
        <w:t xml:space="preserve">, mit </w:t>
      </w:r>
      <w:hyperlink r:id="rId10" w:history="1">
        <w:r w:rsidR="009D6719" w:rsidRPr="009D6719">
          <w:rPr>
            <w:rStyle w:val="Hyperlink"/>
          </w:rPr>
          <w:t>l.c.roosendaal@dijklandernl</w:t>
        </w:r>
      </w:hyperlink>
      <w:r w:rsidRPr="00531776">
        <w:t xml:space="preserve"> und </w:t>
      </w:r>
      <w:r w:rsidRPr="00531776">
        <w:rPr>
          <w:rStyle w:val="Hyperlink"/>
        </w:rPr>
        <w:t>s.vanrossum@</w:t>
      </w:r>
      <w:r w:rsidR="009D6719">
        <w:rPr>
          <w:rStyle w:val="Hyperlink"/>
        </w:rPr>
        <w:t>dijklander</w:t>
      </w:r>
      <w:r w:rsidRPr="00531776">
        <w:rPr>
          <w:rStyle w:val="Hyperlink"/>
        </w:rPr>
        <w:t>.nl</w:t>
      </w:r>
      <w:r w:rsidRPr="00531776">
        <w:t xml:space="preserve"> im CC, einschließlich des Schweregrads und der Kausalität und/oder der Angabe, ob es sich um eine Nebenwirkung auf das Heparin oder </w:t>
      </w:r>
      <w:proofErr w:type="spellStart"/>
      <w:r w:rsidRPr="00531776">
        <w:t>Protamin</w:t>
      </w:r>
      <w:proofErr w:type="spellEnd"/>
      <w:r w:rsidRPr="00531776">
        <w:t xml:space="preserve"> handelt.</w:t>
      </w:r>
    </w:p>
    <w:p w14:paraId="79323906" w14:textId="77777777" w:rsidR="004261A2" w:rsidRPr="00531776" w:rsidRDefault="00602ADC" w:rsidP="00C37C9B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 xml:space="preserve">In der EPD registrieren: Ereignis, Art des SAE, Meldedatum    </w:t>
      </w:r>
    </w:p>
    <w:p w14:paraId="79323907" w14:textId="293C588E" w:rsidR="004261A2" w:rsidRPr="00531776" w:rsidRDefault="004261A2" w:rsidP="00C37C9B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Archivieren Sie die SAE-Benachrichtigungsmail im ISF mit dem SAE</w:t>
      </w:r>
      <w:r w:rsidR="00752AC6">
        <w:t>-</w:t>
      </w:r>
      <w:r w:rsidRPr="00531776">
        <w:t xml:space="preserve">Benachrichtigungsformular.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323908" w14:textId="77777777" w:rsidR="00200FD2" w:rsidRPr="00531776" w:rsidRDefault="0051745F" w:rsidP="00C37C9B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 xml:space="preserve">Angeforderte zusätzliche Informationen (z. B. </w:t>
      </w:r>
      <w:proofErr w:type="spellStart"/>
      <w:r w:rsidRPr="00531776">
        <w:t>Autopsieberichte</w:t>
      </w:r>
      <w:proofErr w:type="spellEnd"/>
      <w:r w:rsidRPr="00531776">
        <w:t xml:space="preserve"> und Sterbeurkunden) bei der Meldung eines Todesfalls per E-Mail übersenden.</w:t>
      </w:r>
    </w:p>
    <w:p w14:paraId="79323909" w14:textId="77777777" w:rsidR="00200FD2" w:rsidRPr="00531776" w:rsidRDefault="00200FD2" w:rsidP="00C37C9B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 xml:space="preserve">Wahrung der Privatsphäre des Probanden bei der Meldung per E-Mail oder bei der Bereitstellung zusätzlicher Informationen über ein SAE oder eine SUR (Löschen von direkt identifizierenden Daten, nur </w:t>
      </w:r>
      <w:r w:rsidRPr="00531776">
        <w:rPr>
          <w:u w:val="single"/>
        </w:rPr>
        <w:t>Studiennummer des Patienten</w:t>
      </w:r>
      <w:r w:rsidRPr="00531776">
        <w:t xml:space="preserve"> notieren).</w:t>
      </w:r>
    </w:p>
    <w:p w14:paraId="7932390A" w14:textId="77777777" w:rsidR="00594239" w:rsidRPr="00531776" w:rsidRDefault="00200FD2" w:rsidP="00594239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 xml:space="preserve">Jegliche Korrespondenz (einschließlich E-Mail), Berichte und zusätzliche Dokumente zu SAE/SAR/SUSAR in der </w:t>
      </w:r>
      <w:proofErr w:type="spellStart"/>
      <w:r w:rsidRPr="00531776">
        <w:t>Investigator</w:t>
      </w:r>
      <w:proofErr w:type="spellEnd"/>
      <w:r w:rsidRPr="00531776">
        <w:t xml:space="preserve"> Site File (ISF) archivieren.</w:t>
      </w:r>
    </w:p>
    <w:p w14:paraId="7932390B" w14:textId="77777777" w:rsidR="001C46F0" w:rsidRPr="00531776" w:rsidRDefault="001C46F0" w:rsidP="00C37C9B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 xml:space="preserve">Informieren aller beteiligten Studienmitarbeiter und des Krankenhausvorstands über SAE/SAR/SUSAR, die im Rahmen der Studie aufgetreten sind. </w:t>
      </w:r>
    </w:p>
    <w:p w14:paraId="7932390C" w14:textId="77777777" w:rsidR="00602ADC" w:rsidRPr="00531776" w:rsidRDefault="00602ADC" w:rsidP="00602ADC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31776">
        <w:rPr>
          <w:rFonts w:ascii="Tahoma" w:hAnsi="Tahoma"/>
          <w:sz w:val="20"/>
        </w:rPr>
        <w:t>Die rechtzeitige und vollständige Erfassung von SAE/SAR/SUSAR im eCRF.</w:t>
      </w:r>
    </w:p>
    <w:p w14:paraId="7932390D" w14:textId="77777777" w:rsidR="00143095" w:rsidRPr="00531776" w:rsidRDefault="00143095" w:rsidP="001430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32390E" w14:textId="77777777" w:rsidR="007F36AC" w:rsidRPr="00531776" w:rsidRDefault="007F36AC" w:rsidP="001430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32390F" w14:textId="77777777" w:rsidR="00594239" w:rsidRPr="00531776" w:rsidRDefault="00594239" w:rsidP="00594239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31776">
        <w:rPr>
          <w:b/>
        </w:rPr>
        <w:t xml:space="preserve">Die </w:t>
      </w:r>
      <w:r w:rsidRPr="00531776">
        <w:rPr>
          <w:b/>
          <w:color w:val="FF0000"/>
        </w:rPr>
        <w:t xml:space="preserve">Prüfärztin </w:t>
      </w:r>
      <w:r w:rsidRPr="00531776">
        <w:rPr>
          <w:b/>
        </w:rPr>
        <w:t>Liliane Roosendaal ist letztlich verantwortlich für:</w:t>
      </w:r>
    </w:p>
    <w:p w14:paraId="79323910" w14:textId="77777777" w:rsidR="00594239" w:rsidRPr="00531776" w:rsidRDefault="00594239" w:rsidP="00594239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Das Assistieren bei der ordnungsgemäßen Durchführung des Berichtsprozesses.</w:t>
      </w:r>
    </w:p>
    <w:p w14:paraId="79323911" w14:textId="4C9C53E2" w:rsidR="00594239" w:rsidRPr="00531776" w:rsidRDefault="00752AC6" w:rsidP="00594239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Die</w:t>
      </w:r>
      <w:r w:rsidR="00594239" w:rsidRPr="00531776">
        <w:t xml:space="preserve"> Unterstütz</w:t>
      </w:r>
      <w:r>
        <w:t>ung</w:t>
      </w:r>
      <w:r w:rsidR="00594239" w:rsidRPr="00531776">
        <w:t xml:space="preserve"> </w:t>
      </w:r>
      <w:r w:rsidR="00CD1FAA">
        <w:t xml:space="preserve">bei </w:t>
      </w:r>
      <w:r w:rsidR="00594239" w:rsidRPr="00531776">
        <w:t>der Meldung von Line-</w:t>
      </w:r>
      <w:proofErr w:type="spellStart"/>
      <w:r w:rsidR="00594239" w:rsidRPr="00531776">
        <w:t>listed</w:t>
      </w:r>
      <w:proofErr w:type="spellEnd"/>
      <w:r w:rsidR="00594239" w:rsidRPr="00531776">
        <w:t xml:space="preserve"> SAE in </w:t>
      </w:r>
      <w:proofErr w:type="spellStart"/>
      <w:r w:rsidR="00594239" w:rsidRPr="00531776">
        <w:t>ToetsingOnline</w:t>
      </w:r>
      <w:proofErr w:type="spellEnd"/>
      <w:r w:rsidR="00594239" w:rsidRPr="00531776">
        <w:t xml:space="preserve"> (alle 6 Monate);</w:t>
      </w:r>
    </w:p>
    <w:p w14:paraId="79323912" w14:textId="77777777" w:rsidR="00594239" w:rsidRPr="00531776" w:rsidRDefault="00594239" w:rsidP="00594239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Die Unterstützung bei der Meldung von SUSAR in ToetsingOnline;</w:t>
      </w:r>
    </w:p>
    <w:p w14:paraId="79323913" w14:textId="77777777" w:rsidR="00594239" w:rsidRPr="00531776" w:rsidRDefault="00594239" w:rsidP="00184301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Die Unterstützung bei der Erstellung des jährlichen Sicherheitsberichts für die METc und die zuständige Behörde.</w:t>
      </w:r>
    </w:p>
    <w:p w14:paraId="79323914" w14:textId="77777777" w:rsidR="001337AC" w:rsidRPr="00531776" w:rsidRDefault="001337AC" w:rsidP="001430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323915" w14:textId="77777777" w:rsidR="00AA3CBD" w:rsidRPr="00531776" w:rsidRDefault="00AA3CBD" w:rsidP="00AA3C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323916" w14:textId="77777777" w:rsidR="00097BB2" w:rsidRPr="00531776" w:rsidRDefault="004B13BA" w:rsidP="00097BB2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31776">
        <w:rPr>
          <w:b/>
        </w:rPr>
        <w:t xml:space="preserve">Der </w:t>
      </w:r>
      <w:r w:rsidRPr="00531776">
        <w:rPr>
          <w:b/>
          <w:color w:val="FF0000"/>
        </w:rPr>
        <w:t xml:space="preserve">Monitor </w:t>
      </w:r>
      <w:r w:rsidRPr="00531776">
        <w:rPr>
          <w:b/>
        </w:rPr>
        <w:t>(CRA) S. van Rossum ist verantwortlich für:</w:t>
      </w:r>
    </w:p>
    <w:p w14:paraId="79323917" w14:textId="77777777" w:rsidR="00097BB2" w:rsidRPr="00531776" w:rsidRDefault="00200FD2" w:rsidP="00C37C9B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Das Assistieren bei der ordnungsgemäßen Durchführung des Berichtsprozesses.</w:t>
      </w:r>
    </w:p>
    <w:p w14:paraId="79323918" w14:textId="4A6C70FB" w:rsidR="00097BB2" w:rsidRPr="00531776" w:rsidRDefault="00CD1FAA" w:rsidP="00C37C9B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Die</w:t>
      </w:r>
      <w:r w:rsidR="00FA3600" w:rsidRPr="00531776">
        <w:t xml:space="preserve"> Unterstütz</w:t>
      </w:r>
      <w:r>
        <w:t>ung</w:t>
      </w:r>
      <w:r w:rsidR="00FA3600" w:rsidRPr="00531776">
        <w:t xml:space="preserve"> </w:t>
      </w:r>
      <w:r>
        <w:t xml:space="preserve">bei </w:t>
      </w:r>
      <w:r w:rsidR="00FA3600" w:rsidRPr="00531776">
        <w:t>der Meldung von Line-</w:t>
      </w:r>
      <w:proofErr w:type="spellStart"/>
      <w:r w:rsidR="00FA3600" w:rsidRPr="00531776">
        <w:t>listed</w:t>
      </w:r>
      <w:proofErr w:type="spellEnd"/>
      <w:r w:rsidR="00FA3600" w:rsidRPr="00531776">
        <w:t xml:space="preserve"> SAE in </w:t>
      </w:r>
      <w:proofErr w:type="spellStart"/>
      <w:r w:rsidR="00FA3600" w:rsidRPr="00531776">
        <w:t>ToetsingOnline</w:t>
      </w:r>
      <w:proofErr w:type="spellEnd"/>
      <w:r w:rsidR="00FA3600" w:rsidRPr="00531776">
        <w:t xml:space="preserve"> (alle 6 Monate);</w:t>
      </w:r>
    </w:p>
    <w:p w14:paraId="79323919" w14:textId="77777777" w:rsidR="00D81D2E" w:rsidRPr="00531776" w:rsidRDefault="00D81D2E" w:rsidP="00D81D2E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Die Unterstützung bei der (</w:t>
      </w:r>
      <w:proofErr w:type="spellStart"/>
      <w:r w:rsidRPr="00531776">
        <w:t>verblindeten</w:t>
      </w:r>
      <w:proofErr w:type="spellEnd"/>
      <w:r w:rsidRPr="00531776">
        <w:t>) Meldung von SUSAR in ToetsingOnline;</w:t>
      </w:r>
    </w:p>
    <w:p w14:paraId="7932391A" w14:textId="77777777" w:rsidR="00D81D2E" w:rsidRPr="00531776" w:rsidRDefault="00D81D2E" w:rsidP="00C37C9B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76">
        <w:t>Die Unterstützung bei der Erstellung des jährlichen Sicherheitsberichts für die METc und die zuständige Behörde.</w:t>
      </w:r>
    </w:p>
    <w:p w14:paraId="7932391B" w14:textId="77777777" w:rsidR="00E47455" w:rsidRPr="00531776" w:rsidRDefault="00E47455" w:rsidP="00E4745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32391C" w14:textId="77777777" w:rsidR="00E47455" w:rsidRPr="00531776" w:rsidRDefault="00E47455" w:rsidP="00E4745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32391D" w14:textId="77777777" w:rsidR="00E47455" w:rsidRPr="00531776" w:rsidRDefault="00E47455" w:rsidP="00E4745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32391E" w14:textId="77777777" w:rsidR="00E47455" w:rsidRPr="00531776" w:rsidRDefault="00E47455" w:rsidP="00E4745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E47455" w:rsidRPr="00531776" w:rsidSect="00115673">
      <w:headerReference w:type="default" r:id="rId11"/>
      <w:footerReference w:type="default" r:id="rId12"/>
      <w:pgSz w:w="11906" w:h="16838"/>
      <w:pgMar w:top="130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3229" w14:textId="77777777" w:rsidR="009D021A" w:rsidRDefault="009D021A" w:rsidP="00071265">
      <w:pPr>
        <w:spacing w:after="0" w:line="240" w:lineRule="auto"/>
      </w:pPr>
      <w:r>
        <w:separator/>
      </w:r>
    </w:p>
  </w:endnote>
  <w:endnote w:type="continuationSeparator" w:id="0">
    <w:p w14:paraId="77C8595D" w14:textId="77777777" w:rsidR="009D021A" w:rsidRDefault="009D021A" w:rsidP="0007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18799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323924" w14:textId="77777777" w:rsidR="00184301" w:rsidRPr="00184301" w:rsidRDefault="00184301">
            <w:pPr>
              <w:pStyle w:val="Voettekst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Seite </w:t>
            </w:r>
            <w:r w:rsidRPr="00184301">
              <w:rPr>
                <w:b/>
                <w:sz w:val="16"/>
              </w:rPr>
              <w:fldChar w:fldCharType="begin"/>
            </w:r>
            <w:r w:rsidRPr="00184301">
              <w:rPr>
                <w:b/>
                <w:sz w:val="16"/>
              </w:rPr>
              <w:instrText>PAGE</w:instrText>
            </w:r>
            <w:r w:rsidRPr="00184301">
              <w:rPr>
                <w:b/>
                <w:sz w:val="16"/>
              </w:rPr>
              <w:fldChar w:fldCharType="separate"/>
            </w:r>
            <w:r w:rsidR="00614780">
              <w:rPr>
                <w:b/>
                <w:noProof/>
                <w:sz w:val="16"/>
              </w:rPr>
              <w:t>1</w:t>
            </w:r>
            <w:r w:rsidRPr="00184301"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von </w:t>
            </w:r>
            <w:r w:rsidRPr="00184301">
              <w:rPr>
                <w:b/>
                <w:sz w:val="16"/>
              </w:rPr>
              <w:fldChar w:fldCharType="begin"/>
            </w:r>
            <w:r w:rsidRPr="00184301">
              <w:rPr>
                <w:b/>
                <w:sz w:val="16"/>
              </w:rPr>
              <w:instrText>NUMPAGES</w:instrText>
            </w:r>
            <w:r w:rsidRPr="00184301">
              <w:rPr>
                <w:b/>
                <w:sz w:val="16"/>
              </w:rPr>
              <w:fldChar w:fldCharType="separate"/>
            </w:r>
            <w:r w:rsidR="00614780">
              <w:rPr>
                <w:b/>
                <w:noProof/>
                <w:sz w:val="16"/>
              </w:rPr>
              <w:t>5</w:t>
            </w:r>
            <w:r w:rsidRPr="00184301">
              <w:rPr>
                <w:b/>
                <w:sz w:val="16"/>
              </w:rPr>
              <w:fldChar w:fldCharType="end"/>
            </w:r>
          </w:p>
        </w:sdtContent>
      </w:sdt>
    </w:sdtContent>
  </w:sdt>
  <w:p w14:paraId="79323925" w14:textId="77777777" w:rsidR="00184301" w:rsidRDefault="001843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9020" w14:textId="77777777" w:rsidR="009D021A" w:rsidRDefault="009D021A" w:rsidP="00071265">
      <w:pPr>
        <w:spacing w:after="0" w:line="240" w:lineRule="auto"/>
      </w:pPr>
      <w:r>
        <w:separator/>
      </w:r>
    </w:p>
  </w:footnote>
  <w:footnote w:type="continuationSeparator" w:id="0">
    <w:p w14:paraId="328F2ED0" w14:textId="77777777" w:rsidR="009D021A" w:rsidRDefault="009D021A" w:rsidP="0007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3923" w14:textId="3C6C05A3" w:rsidR="00D97E51" w:rsidRDefault="00D97E51" w:rsidP="00D97E51">
    <w:pPr>
      <w:pStyle w:val="Koptekst"/>
      <w:jc w:val="right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79323926" wp14:editId="390E64E2">
          <wp:simplePos x="0" y="0"/>
          <wp:positionH relativeFrom="margin">
            <wp:posOffset>1648460</wp:posOffset>
          </wp:positionH>
          <wp:positionV relativeFrom="paragraph">
            <wp:posOffset>-88265</wp:posOffset>
          </wp:positionV>
          <wp:extent cx="1782445" cy="523875"/>
          <wp:effectExtent l="0" t="0" r="825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9323928" wp14:editId="79323929">
          <wp:simplePos x="0" y="0"/>
          <wp:positionH relativeFrom="column">
            <wp:posOffset>-85725</wp:posOffset>
          </wp:positionH>
          <wp:positionV relativeFrom="paragraph">
            <wp:posOffset>-29210</wp:posOffset>
          </wp:positionV>
          <wp:extent cx="1550035" cy="390525"/>
          <wp:effectExtent l="0" t="0" r="0" b="9525"/>
          <wp:wrapTight wrapText="bothSides">
            <wp:wrapPolygon edited="0">
              <wp:start x="3186" y="0"/>
              <wp:lineTo x="0" y="6322"/>
              <wp:lineTo x="0" y="21073"/>
              <wp:lineTo x="265" y="21073"/>
              <wp:lineTo x="21237" y="21073"/>
              <wp:lineTo x="21237" y="0"/>
              <wp:lineTo x="15928" y="0"/>
              <wp:lineTo x="3186" y="0"/>
            </wp:wrapPolygon>
          </wp:wrapTight>
          <wp:docPr id="3" name="Afbeelding 3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41773E">
      <w:t>GERMAN</w:t>
    </w:r>
    <w:r w:rsidR="009D6719">
      <w:t xml:space="preserve"> </w:t>
    </w:r>
    <w:r>
      <w:t>V202</w:t>
    </w:r>
    <w:r w:rsidR="009D6719">
      <w:t>2</w:t>
    </w:r>
    <w:r w:rsidR="00F366D8">
      <w:t>0</w:t>
    </w:r>
    <w:r>
      <w:t>001</w:t>
    </w:r>
    <w:r w:rsidR="00F366D8">
      <w:t xml:space="preserve"> 28-02-2020</w:t>
    </w:r>
  </w:p>
  <w:p w14:paraId="026E0654" w14:textId="52CD4410" w:rsidR="00F366D8" w:rsidRDefault="00F366D8" w:rsidP="00F366D8">
    <w:pPr>
      <w:rPr>
        <w:color w:val="1F497D"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</w:p>
  <w:p w14:paraId="7D1DCAA8" w14:textId="77777777" w:rsidR="00F366D8" w:rsidRDefault="00F366D8" w:rsidP="00F366D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3A763A"/>
    <w:multiLevelType w:val="hybridMultilevel"/>
    <w:tmpl w:val="AA68F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1D3"/>
    <w:multiLevelType w:val="hybridMultilevel"/>
    <w:tmpl w:val="2C24B3D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411816"/>
    <w:multiLevelType w:val="hybridMultilevel"/>
    <w:tmpl w:val="5964BB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5606A"/>
    <w:multiLevelType w:val="hybridMultilevel"/>
    <w:tmpl w:val="943E8F56"/>
    <w:lvl w:ilvl="0" w:tplc="60E6AC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163E2"/>
    <w:multiLevelType w:val="multilevel"/>
    <w:tmpl w:val="2FA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B4A00"/>
    <w:multiLevelType w:val="hybridMultilevel"/>
    <w:tmpl w:val="8876A19C"/>
    <w:lvl w:ilvl="0" w:tplc="5CC42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7DF2"/>
    <w:multiLevelType w:val="hybridMultilevel"/>
    <w:tmpl w:val="ABBA68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D25DD"/>
    <w:multiLevelType w:val="hybridMultilevel"/>
    <w:tmpl w:val="8578B26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5104C"/>
    <w:multiLevelType w:val="hybridMultilevel"/>
    <w:tmpl w:val="5D90C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221D7"/>
    <w:multiLevelType w:val="hybridMultilevel"/>
    <w:tmpl w:val="E2D0C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37216"/>
    <w:multiLevelType w:val="hybridMultilevel"/>
    <w:tmpl w:val="F5D69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F783B"/>
    <w:multiLevelType w:val="hybridMultilevel"/>
    <w:tmpl w:val="6CB02886"/>
    <w:lvl w:ilvl="0" w:tplc="60E6AC8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C11062"/>
    <w:multiLevelType w:val="hybridMultilevel"/>
    <w:tmpl w:val="593A8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07808"/>
    <w:multiLevelType w:val="hybridMultilevel"/>
    <w:tmpl w:val="5530A20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8DD"/>
    <w:multiLevelType w:val="hybridMultilevel"/>
    <w:tmpl w:val="C21E8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1DC0"/>
    <w:multiLevelType w:val="hybridMultilevel"/>
    <w:tmpl w:val="89AC0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E6882"/>
    <w:multiLevelType w:val="hybridMultilevel"/>
    <w:tmpl w:val="1CF06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5CA6"/>
    <w:multiLevelType w:val="hybridMultilevel"/>
    <w:tmpl w:val="2BA833EC"/>
    <w:lvl w:ilvl="0" w:tplc="50A67D68">
      <w:numFmt w:val="bullet"/>
      <w:lvlText w:val="-"/>
      <w:lvlJc w:val="left"/>
      <w:pPr>
        <w:ind w:left="0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B2EF8C2">
      <w:numFmt w:val="bullet"/>
      <w:lvlText w:val="•"/>
      <w:lvlJc w:val="left"/>
      <w:pPr>
        <w:ind w:left="1021" w:hanging="135"/>
      </w:pPr>
      <w:rPr>
        <w:rFonts w:hint="default"/>
      </w:rPr>
    </w:lvl>
    <w:lvl w:ilvl="2" w:tplc="ADE22E9E">
      <w:numFmt w:val="bullet"/>
      <w:lvlText w:val="•"/>
      <w:lvlJc w:val="left"/>
      <w:pPr>
        <w:ind w:left="2048" w:hanging="135"/>
      </w:pPr>
      <w:rPr>
        <w:rFonts w:hint="default"/>
      </w:rPr>
    </w:lvl>
    <w:lvl w:ilvl="3" w:tplc="E98666FC">
      <w:numFmt w:val="bullet"/>
      <w:lvlText w:val="•"/>
      <w:lvlJc w:val="left"/>
      <w:pPr>
        <w:ind w:left="3074" w:hanging="135"/>
      </w:pPr>
      <w:rPr>
        <w:rFonts w:hint="default"/>
      </w:rPr>
    </w:lvl>
    <w:lvl w:ilvl="4" w:tplc="3C4C87A2">
      <w:numFmt w:val="bullet"/>
      <w:lvlText w:val="•"/>
      <w:lvlJc w:val="left"/>
      <w:pPr>
        <w:ind w:left="4101" w:hanging="135"/>
      </w:pPr>
      <w:rPr>
        <w:rFonts w:hint="default"/>
      </w:rPr>
    </w:lvl>
    <w:lvl w:ilvl="5" w:tplc="DDA83550">
      <w:numFmt w:val="bullet"/>
      <w:lvlText w:val="•"/>
      <w:lvlJc w:val="left"/>
      <w:pPr>
        <w:ind w:left="5127" w:hanging="135"/>
      </w:pPr>
      <w:rPr>
        <w:rFonts w:hint="default"/>
      </w:rPr>
    </w:lvl>
    <w:lvl w:ilvl="6" w:tplc="B600C79A">
      <w:numFmt w:val="bullet"/>
      <w:lvlText w:val="•"/>
      <w:lvlJc w:val="left"/>
      <w:pPr>
        <w:ind w:left="6154" w:hanging="135"/>
      </w:pPr>
      <w:rPr>
        <w:rFonts w:hint="default"/>
      </w:rPr>
    </w:lvl>
    <w:lvl w:ilvl="7" w:tplc="E5C0912A">
      <w:numFmt w:val="bullet"/>
      <w:lvlText w:val="•"/>
      <w:lvlJc w:val="left"/>
      <w:pPr>
        <w:ind w:left="7180" w:hanging="135"/>
      </w:pPr>
      <w:rPr>
        <w:rFonts w:hint="default"/>
      </w:rPr>
    </w:lvl>
    <w:lvl w:ilvl="8" w:tplc="5A700E1A">
      <w:numFmt w:val="bullet"/>
      <w:lvlText w:val="•"/>
      <w:lvlJc w:val="left"/>
      <w:pPr>
        <w:ind w:left="8207" w:hanging="135"/>
      </w:pPr>
      <w:rPr>
        <w:rFonts w:hint="default"/>
      </w:rPr>
    </w:lvl>
  </w:abstractNum>
  <w:abstractNum w:abstractNumId="19" w15:restartNumberingAfterBreak="0">
    <w:nsid w:val="3D25626F"/>
    <w:multiLevelType w:val="hybridMultilevel"/>
    <w:tmpl w:val="20AE32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70055"/>
    <w:multiLevelType w:val="hybridMultilevel"/>
    <w:tmpl w:val="DAC8B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1F94"/>
    <w:multiLevelType w:val="hybridMultilevel"/>
    <w:tmpl w:val="755E2B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F705E1"/>
    <w:multiLevelType w:val="hybridMultilevel"/>
    <w:tmpl w:val="B0C02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533C0"/>
    <w:multiLevelType w:val="hybridMultilevel"/>
    <w:tmpl w:val="39D6168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45E13"/>
    <w:multiLevelType w:val="hybridMultilevel"/>
    <w:tmpl w:val="5274B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C49BE"/>
    <w:multiLevelType w:val="hybridMultilevel"/>
    <w:tmpl w:val="6A7EC918"/>
    <w:lvl w:ilvl="0" w:tplc="60E6A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8545B"/>
    <w:multiLevelType w:val="hybridMultilevel"/>
    <w:tmpl w:val="D80E4C2E"/>
    <w:lvl w:ilvl="0" w:tplc="60E6AC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863BC6"/>
    <w:multiLevelType w:val="hybridMultilevel"/>
    <w:tmpl w:val="C1D24A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F332D"/>
    <w:multiLevelType w:val="hybridMultilevel"/>
    <w:tmpl w:val="45B47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2091A"/>
    <w:multiLevelType w:val="hybridMultilevel"/>
    <w:tmpl w:val="7EEA6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C0E15"/>
    <w:multiLevelType w:val="hybridMultilevel"/>
    <w:tmpl w:val="B768ADFC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C9752CE"/>
    <w:multiLevelType w:val="hybridMultilevel"/>
    <w:tmpl w:val="EB76C96C"/>
    <w:lvl w:ilvl="0" w:tplc="60E6AC8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810F36"/>
    <w:multiLevelType w:val="hybridMultilevel"/>
    <w:tmpl w:val="94C613F0"/>
    <w:lvl w:ilvl="0" w:tplc="42D415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8327B"/>
    <w:multiLevelType w:val="hybridMultilevel"/>
    <w:tmpl w:val="903CF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F103E"/>
    <w:multiLevelType w:val="hybridMultilevel"/>
    <w:tmpl w:val="7EBC9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E6408"/>
    <w:multiLevelType w:val="hybridMultilevel"/>
    <w:tmpl w:val="5476BE98"/>
    <w:lvl w:ilvl="0" w:tplc="42D415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BE35CC"/>
    <w:multiLevelType w:val="hybridMultilevel"/>
    <w:tmpl w:val="3E640A00"/>
    <w:lvl w:ilvl="0" w:tplc="60E6A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E1C48"/>
    <w:multiLevelType w:val="hybridMultilevel"/>
    <w:tmpl w:val="EDC2E77E"/>
    <w:lvl w:ilvl="0" w:tplc="1ECCC6E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180E"/>
    <w:multiLevelType w:val="hybridMultilevel"/>
    <w:tmpl w:val="FC724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21B4D"/>
    <w:multiLevelType w:val="hybridMultilevel"/>
    <w:tmpl w:val="10DAE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90701"/>
    <w:multiLevelType w:val="hybridMultilevel"/>
    <w:tmpl w:val="CEC263B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944EC6"/>
    <w:multiLevelType w:val="hybridMultilevel"/>
    <w:tmpl w:val="1F1CFAC4"/>
    <w:lvl w:ilvl="0" w:tplc="60E6A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40"/>
  </w:num>
  <w:num w:numId="4">
    <w:abstractNumId w:val="29"/>
  </w:num>
  <w:num w:numId="5">
    <w:abstractNumId w:val="35"/>
  </w:num>
  <w:num w:numId="6">
    <w:abstractNumId w:val="10"/>
  </w:num>
  <w:num w:numId="7">
    <w:abstractNumId w:val="39"/>
  </w:num>
  <w:num w:numId="8">
    <w:abstractNumId w:val="28"/>
  </w:num>
  <w:num w:numId="9">
    <w:abstractNumId w:val="1"/>
  </w:num>
  <w:num w:numId="10">
    <w:abstractNumId w:val="16"/>
  </w:num>
  <w:num w:numId="11">
    <w:abstractNumId w:val="18"/>
  </w:num>
  <w:num w:numId="12">
    <w:abstractNumId w:val="11"/>
  </w:num>
  <w:num w:numId="13">
    <w:abstractNumId w:val="15"/>
  </w:num>
  <w:num w:numId="14">
    <w:abstractNumId w:val="34"/>
  </w:num>
  <w:num w:numId="15">
    <w:abstractNumId w:val="19"/>
  </w:num>
  <w:num w:numId="16">
    <w:abstractNumId w:val="21"/>
  </w:num>
  <w:num w:numId="17">
    <w:abstractNumId w:val="27"/>
  </w:num>
  <w:num w:numId="18">
    <w:abstractNumId w:val="14"/>
  </w:num>
  <w:num w:numId="19">
    <w:abstractNumId w:val="8"/>
  </w:num>
  <w:num w:numId="20">
    <w:abstractNumId w:val="23"/>
  </w:num>
  <w:num w:numId="21">
    <w:abstractNumId w:val="7"/>
  </w:num>
  <w:num w:numId="22">
    <w:abstractNumId w:val="13"/>
  </w:num>
  <w:num w:numId="23">
    <w:abstractNumId w:val="5"/>
  </w:num>
  <w:num w:numId="24">
    <w:abstractNumId w:val="30"/>
  </w:num>
  <w:num w:numId="25">
    <w:abstractNumId w:val="9"/>
  </w:num>
  <w:num w:numId="26">
    <w:abstractNumId w:val="41"/>
  </w:num>
  <w:num w:numId="27">
    <w:abstractNumId w:val="36"/>
  </w:num>
  <w:num w:numId="28">
    <w:abstractNumId w:val="25"/>
  </w:num>
  <w:num w:numId="29">
    <w:abstractNumId w:val="20"/>
  </w:num>
  <w:num w:numId="30">
    <w:abstractNumId w:val="3"/>
  </w:num>
  <w:num w:numId="31">
    <w:abstractNumId w:val="24"/>
  </w:num>
  <w:num w:numId="32">
    <w:abstractNumId w:val="33"/>
  </w:num>
  <w:num w:numId="33">
    <w:abstractNumId w:val="26"/>
  </w:num>
  <w:num w:numId="34">
    <w:abstractNumId w:val="12"/>
  </w:num>
  <w:num w:numId="35">
    <w:abstractNumId w:val="31"/>
  </w:num>
  <w:num w:numId="36">
    <w:abstractNumId w:val="4"/>
  </w:num>
  <w:num w:numId="37">
    <w:abstractNumId w:val="22"/>
  </w:num>
  <w:num w:numId="38">
    <w:abstractNumId w:val="0"/>
  </w:num>
  <w:num w:numId="39">
    <w:abstractNumId w:val="37"/>
  </w:num>
  <w:num w:numId="40">
    <w:abstractNumId w:val="32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8"/>
    <w:rsid w:val="00000F24"/>
    <w:rsid w:val="0001140B"/>
    <w:rsid w:val="0001539D"/>
    <w:rsid w:val="00017235"/>
    <w:rsid w:val="00036C79"/>
    <w:rsid w:val="00071265"/>
    <w:rsid w:val="00077E6F"/>
    <w:rsid w:val="000828E0"/>
    <w:rsid w:val="00086D1D"/>
    <w:rsid w:val="00097BB2"/>
    <w:rsid w:val="000C3A0A"/>
    <w:rsid w:val="000E1AD6"/>
    <w:rsid w:val="000F3359"/>
    <w:rsid w:val="00115673"/>
    <w:rsid w:val="0011666E"/>
    <w:rsid w:val="001337AC"/>
    <w:rsid w:val="00143095"/>
    <w:rsid w:val="00164CF7"/>
    <w:rsid w:val="001703C7"/>
    <w:rsid w:val="00184301"/>
    <w:rsid w:val="001956FC"/>
    <w:rsid w:val="001C46F0"/>
    <w:rsid w:val="00200AD0"/>
    <w:rsid w:val="00200FD2"/>
    <w:rsid w:val="002072B0"/>
    <w:rsid w:val="0021762D"/>
    <w:rsid w:val="002437E1"/>
    <w:rsid w:val="002861B3"/>
    <w:rsid w:val="002E65B7"/>
    <w:rsid w:val="00365CE5"/>
    <w:rsid w:val="00380A2F"/>
    <w:rsid w:val="00386515"/>
    <w:rsid w:val="003A248C"/>
    <w:rsid w:val="003C054E"/>
    <w:rsid w:val="0040205D"/>
    <w:rsid w:val="00402929"/>
    <w:rsid w:val="004102C3"/>
    <w:rsid w:val="0041773E"/>
    <w:rsid w:val="004261A2"/>
    <w:rsid w:val="004264D5"/>
    <w:rsid w:val="004409E4"/>
    <w:rsid w:val="00455A44"/>
    <w:rsid w:val="00464687"/>
    <w:rsid w:val="004859FA"/>
    <w:rsid w:val="00486427"/>
    <w:rsid w:val="0048739E"/>
    <w:rsid w:val="004B13BA"/>
    <w:rsid w:val="004C5875"/>
    <w:rsid w:val="004E017F"/>
    <w:rsid w:val="004E076E"/>
    <w:rsid w:val="0051745F"/>
    <w:rsid w:val="00531776"/>
    <w:rsid w:val="00594239"/>
    <w:rsid w:val="005C2472"/>
    <w:rsid w:val="00602ADC"/>
    <w:rsid w:val="00614780"/>
    <w:rsid w:val="0063549A"/>
    <w:rsid w:val="00653899"/>
    <w:rsid w:val="00665A39"/>
    <w:rsid w:val="0067719F"/>
    <w:rsid w:val="006A10B4"/>
    <w:rsid w:val="006A7207"/>
    <w:rsid w:val="00752AC6"/>
    <w:rsid w:val="00766B83"/>
    <w:rsid w:val="007703C4"/>
    <w:rsid w:val="007849C6"/>
    <w:rsid w:val="00790252"/>
    <w:rsid w:val="00796A11"/>
    <w:rsid w:val="007F1319"/>
    <w:rsid w:val="007F36AC"/>
    <w:rsid w:val="008038AA"/>
    <w:rsid w:val="00821CD1"/>
    <w:rsid w:val="00834A34"/>
    <w:rsid w:val="0083653B"/>
    <w:rsid w:val="00836723"/>
    <w:rsid w:val="00845944"/>
    <w:rsid w:val="008603BF"/>
    <w:rsid w:val="0089577D"/>
    <w:rsid w:val="008B6BF3"/>
    <w:rsid w:val="008F539A"/>
    <w:rsid w:val="008F5D62"/>
    <w:rsid w:val="009002FD"/>
    <w:rsid w:val="00905678"/>
    <w:rsid w:val="009136E7"/>
    <w:rsid w:val="00996200"/>
    <w:rsid w:val="009A2D18"/>
    <w:rsid w:val="009C1FA9"/>
    <w:rsid w:val="009D021A"/>
    <w:rsid w:val="009D6719"/>
    <w:rsid w:val="00A063DD"/>
    <w:rsid w:val="00A52B8A"/>
    <w:rsid w:val="00A563C1"/>
    <w:rsid w:val="00A73EDC"/>
    <w:rsid w:val="00AA1003"/>
    <w:rsid w:val="00AA3CBD"/>
    <w:rsid w:val="00AA7A6D"/>
    <w:rsid w:val="00AC27B0"/>
    <w:rsid w:val="00B04430"/>
    <w:rsid w:val="00B55A11"/>
    <w:rsid w:val="00B74470"/>
    <w:rsid w:val="00B953EA"/>
    <w:rsid w:val="00BA7219"/>
    <w:rsid w:val="00BC1DA5"/>
    <w:rsid w:val="00BF07C4"/>
    <w:rsid w:val="00BF2509"/>
    <w:rsid w:val="00C24993"/>
    <w:rsid w:val="00C35C9B"/>
    <w:rsid w:val="00C37C9B"/>
    <w:rsid w:val="00C6550F"/>
    <w:rsid w:val="00CB313A"/>
    <w:rsid w:val="00CD1FAA"/>
    <w:rsid w:val="00CF0008"/>
    <w:rsid w:val="00D052A4"/>
    <w:rsid w:val="00D23EEB"/>
    <w:rsid w:val="00D258A9"/>
    <w:rsid w:val="00D81D2E"/>
    <w:rsid w:val="00D97E51"/>
    <w:rsid w:val="00DB5842"/>
    <w:rsid w:val="00DC7C46"/>
    <w:rsid w:val="00DD67BE"/>
    <w:rsid w:val="00DE5503"/>
    <w:rsid w:val="00E028B1"/>
    <w:rsid w:val="00E245F5"/>
    <w:rsid w:val="00E47455"/>
    <w:rsid w:val="00E81F0A"/>
    <w:rsid w:val="00E863EA"/>
    <w:rsid w:val="00E95450"/>
    <w:rsid w:val="00EA1958"/>
    <w:rsid w:val="00ED3004"/>
    <w:rsid w:val="00EF147B"/>
    <w:rsid w:val="00F073E1"/>
    <w:rsid w:val="00F12CC5"/>
    <w:rsid w:val="00F2325F"/>
    <w:rsid w:val="00F366D8"/>
    <w:rsid w:val="00F52F04"/>
    <w:rsid w:val="00F738EE"/>
    <w:rsid w:val="00F87B9F"/>
    <w:rsid w:val="00F964C0"/>
    <w:rsid w:val="00FA3600"/>
    <w:rsid w:val="00FB5483"/>
    <w:rsid w:val="00FB5D49"/>
    <w:rsid w:val="00FC3594"/>
    <w:rsid w:val="00FC583E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23859"/>
  <w15:docId w15:val="{2F21DDB5-E8C1-4D0E-BD08-6C986B0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0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0008"/>
    <w:rPr>
      <w:color w:val="0563C1" w:themeColor="hyperlink"/>
      <w:u w:val="single"/>
    </w:rPr>
  </w:style>
  <w:style w:type="character" w:customStyle="1" w:styleId="phonenumber">
    <w:name w:val="phonenumber"/>
    <w:basedOn w:val="Standaardalinea-lettertype"/>
    <w:rsid w:val="00CF0008"/>
  </w:style>
  <w:style w:type="paragraph" w:styleId="Plattetekst2">
    <w:name w:val="Body Text 2"/>
    <w:basedOn w:val="Standaard"/>
    <w:link w:val="Plattetekst2Char"/>
    <w:rsid w:val="00B74470"/>
    <w:p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Arial"/>
      <w:color w:val="000000"/>
      <w:sz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B74470"/>
    <w:rPr>
      <w:rFonts w:ascii="Times New Roman" w:eastAsia="Times New Roman" w:hAnsi="Times New Roman" w:cs="Arial"/>
      <w:color w:val="000000"/>
      <w:sz w:val="24"/>
      <w:lang w:val="de-DE" w:eastAsia="nl-NL"/>
    </w:rPr>
  </w:style>
  <w:style w:type="paragraph" w:styleId="Lijstalinea">
    <w:name w:val="List Paragraph"/>
    <w:basedOn w:val="Standaard"/>
    <w:uiPriority w:val="1"/>
    <w:qFormat/>
    <w:rsid w:val="00B74470"/>
    <w:pPr>
      <w:ind w:left="720"/>
      <w:contextualSpacing/>
    </w:pPr>
  </w:style>
  <w:style w:type="paragraph" w:customStyle="1" w:styleId="Default">
    <w:name w:val="Default"/>
    <w:rsid w:val="00B74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1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A6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365CE5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DB584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B5842"/>
  </w:style>
  <w:style w:type="paragraph" w:customStyle="1" w:styleId="MMkop2">
    <w:name w:val="MM kop 2"/>
    <w:basedOn w:val="Kop2"/>
    <w:next w:val="Standaard"/>
    <w:rsid w:val="009002FD"/>
    <w:pPr>
      <w:keepLines w:val="0"/>
      <w:widowControl w:val="0"/>
      <w:spacing w:before="0" w:line="240" w:lineRule="auto"/>
    </w:pPr>
    <w:rPr>
      <w:rFonts w:ascii="Arial" w:eastAsia="Times New Roman" w:hAnsi="Arial" w:cs="Arial"/>
      <w:b/>
      <w:bCs/>
      <w:iCs/>
      <w:snapToGrid w:val="0"/>
      <w:color w:val="auto"/>
      <w:sz w:val="20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00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semiHidden/>
    <w:rsid w:val="009002F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9002F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002FD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7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265"/>
  </w:style>
  <w:style w:type="paragraph" w:styleId="Voettekst">
    <w:name w:val="footer"/>
    <w:basedOn w:val="Standaard"/>
    <w:link w:val="VoettekstChar"/>
    <w:uiPriority w:val="99"/>
    <w:unhideWhenUsed/>
    <w:rsid w:val="0007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26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0A2F"/>
    <w:pPr>
      <w:widowControl/>
      <w:spacing w:after="160"/>
    </w:pPr>
    <w:rPr>
      <w:rFonts w:asciiTheme="minorHAnsi" w:eastAsiaTheme="minorHAnsi" w:hAnsiTheme="minorHAnsi" w:cstheme="minorBidi"/>
      <w:b/>
      <w:bCs/>
      <w:snapToGrid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0A2F"/>
    <w:rPr>
      <w:rFonts w:ascii="Arial" w:eastAsia="Times New Roman" w:hAnsi="Arial" w:cs="Times New Roman"/>
      <w:b/>
      <w:bCs/>
      <w:snapToGrid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.roosendaal@dijklander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no@wiersema.nu%20im%20C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.c.roosendaal@dijklander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vanrossum@dijklander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3E886D58</Template>
  <TotalTime>1</TotalTime>
  <Pages>5</Pages>
  <Words>1950</Words>
  <Characters>10728</Characters>
  <Application>Microsoft Office Word</Application>
  <DocSecurity>4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Rossum, Sylvia van</dc:creator>
  <cp:keywords/>
  <dc:description/>
  <cp:lastModifiedBy>Hoebink, Max</cp:lastModifiedBy>
  <cp:revision>2</cp:revision>
  <cp:lastPrinted>2020-03-03T15:15:00Z</cp:lastPrinted>
  <dcterms:created xsi:type="dcterms:W3CDTF">2022-02-16T11:15:00Z</dcterms:created>
  <dcterms:modified xsi:type="dcterms:W3CDTF">2022-02-16T11:15:00Z</dcterms:modified>
</cp:coreProperties>
</file>